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C07" w:rsidRDefault="00202C07" w:rsidP="008E03AF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1C4F19" w:rsidRDefault="001C4F19" w:rsidP="008E03AF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1C4F19" w:rsidRDefault="001C4F19" w:rsidP="008E03AF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202C07" w:rsidRDefault="00202C07" w:rsidP="008E03AF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A10638" w:rsidRDefault="00A10638" w:rsidP="008E03AF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A10638" w:rsidRDefault="00A10638" w:rsidP="008E03AF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:rsidR="00064751" w:rsidRPr="00A10638" w:rsidRDefault="00A10638" w:rsidP="00064751">
      <w:pPr>
        <w:pStyle w:val="Heading1"/>
        <w:rPr>
          <w:b/>
          <w:bCs/>
          <w:sz w:val="28"/>
          <w:szCs w:val="28"/>
        </w:rPr>
      </w:pPr>
      <w:r w:rsidRPr="00A10638">
        <w:rPr>
          <w:b/>
          <w:bCs/>
          <w:sz w:val="28"/>
          <w:szCs w:val="28"/>
        </w:rPr>
        <w:t>MEMORANDUM</w:t>
      </w:r>
    </w:p>
    <w:p w:rsidR="00A10638" w:rsidRPr="00A10638" w:rsidRDefault="00A10638" w:rsidP="00A10638">
      <w:pPr>
        <w:rPr>
          <w:sz w:val="28"/>
          <w:szCs w:val="28"/>
        </w:rPr>
      </w:pPr>
    </w:p>
    <w:p w:rsidR="00A10638" w:rsidRPr="001A43A6" w:rsidRDefault="00A10638" w:rsidP="00A10638">
      <w:pPr>
        <w:rPr>
          <w:b/>
        </w:rPr>
      </w:pPr>
      <w:r w:rsidRPr="001A43A6">
        <w:rPr>
          <w:b/>
        </w:rPr>
        <w:t xml:space="preserve">TO:  </w:t>
      </w:r>
      <w:r w:rsidR="005D5F75">
        <w:rPr>
          <w:b/>
        </w:rPr>
        <w:tab/>
      </w:r>
      <w:r w:rsidR="005D5F75">
        <w:rPr>
          <w:b/>
        </w:rPr>
        <w:tab/>
      </w:r>
      <w:r w:rsidR="005D5F75" w:rsidRPr="005D5F75">
        <w:t>Local Government Offici</w:t>
      </w:r>
      <w:r w:rsidR="005D5F75">
        <w:t xml:space="preserve">als and Other Interested </w:t>
      </w:r>
      <w:r w:rsidR="005D5F75" w:rsidRPr="005D5F75">
        <w:t>Parties</w:t>
      </w:r>
    </w:p>
    <w:p w:rsidR="00A10638" w:rsidRPr="001A43A6" w:rsidRDefault="00A10638" w:rsidP="00A10638">
      <w:pPr>
        <w:rPr>
          <w:b/>
        </w:rPr>
      </w:pPr>
    </w:p>
    <w:p w:rsidR="00A10638" w:rsidRPr="001A43A6" w:rsidRDefault="00A10638" w:rsidP="00A10638">
      <w:r w:rsidRPr="001A43A6">
        <w:rPr>
          <w:b/>
        </w:rPr>
        <w:t xml:space="preserve">FROM:  </w:t>
      </w:r>
      <w:r w:rsidRPr="001A43A6">
        <w:rPr>
          <w:b/>
        </w:rPr>
        <w:tab/>
      </w:r>
      <w:r w:rsidRPr="001A43A6">
        <w:t>Iris Payne, Director</w:t>
      </w:r>
    </w:p>
    <w:p w:rsidR="00A10638" w:rsidRPr="001A43A6" w:rsidRDefault="00A10638" w:rsidP="00A10638">
      <w:r w:rsidRPr="001A43A6">
        <w:tab/>
        <w:t xml:space="preserve">    </w:t>
      </w:r>
      <w:r w:rsidRPr="001A43A6">
        <w:tab/>
      </w:r>
      <w:r w:rsidR="001A43A6">
        <w:t xml:space="preserve">Division of </w:t>
      </w:r>
      <w:r w:rsidRPr="001A43A6">
        <w:t>Rur</w:t>
      </w:r>
      <w:r w:rsidR="001A43A6">
        <w:t xml:space="preserve">al Economic Development </w:t>
      </w:r>
      <w:r w:rsidRPr="001A43A6">
        <w:t xml:space="preserve"> </w:t>
      </w:r>
    </w:p>
    <w:p w:rsidR="00A10638" w:rsidRPr="001A43A6" w:rsidRDefault="00A10638" w:rsidP="00A10638"/>
    <w:p w:rsidR="00A10638" w:rsidRPr="001A43A6" w:rsidRDefault="00A10638" w:rsidP="00A10638">
      <w:pPr>
        <w:rPr>
          <w:b/>
        </w:rPr>
      </w:pPr>
      <w:r w:rsidRPr="001A43A6">
        <w:rPr>
          <w:b/>
        </w:rPr>
        <w:t xml:space="preserve">DATE: </w:t>
      </w:r>
      <w:r w:rsidRPr="001A43A6">
        <w:rPr>
          <w:b/>
        </w:rPr>
        <w:tab/>
      </w:r>
      <w:r w:rsidR="00860EF4" w:rsidRPr="00860EF4">
        <w:t xml:space="preserve">May </w:t>
      </w:r>
      <w:r w:rsidR="00854651">
        <w:t>11</w:t>
      </w:r>
      <w:bookmarkStart w:id="0" w:name="_GoBack"/>
      <w:bookmarkEnd w:id="0"/>
      <w:r w:rsidR="00860EF4" w:rsidRPr="00860EF4">
        <w:t>, 2018</w:t>
      </w:r>
    </w:p>
    <w:p w:rsidR="00A10638" w:rsidRPr="001A43A6" w:rsidRDefault="00A10638" w:rsidP="00A10638">
      <w:pPr>
        <w:rPr>
          <w:b/>
        </w:rPr>
      </w:pPr>
    </w:p>
    <w:p w:rsidR="00860EF4" w:rsidRDefault="00A10638" w:rsidP="00A10638">
      <w:pPr>
        <w:pStyle w:val="Heading1"/>
        <w:rPr>
          <w:bCs/>
          <w:sz w:val="24"/>
        </w:rPr>
      </w:pPr>
      <w:r w:rsidRPr="001A43A6">
        <w:rPr>
          <w:b/>
          <w:sz w:val="24"/>
        </w:rPr>
        <w:t xml:space="preserve">SUBJECT:  </w:t>
      </w:r>
      <w:r w:rsidRPr="001A43A6">
        <w:rPr>
          <w:b/>
          <w:sz w:val="24"/>
        </w:rPr>
        <w:tab/>
      </w:r>
      <w:r w:rsidRPr="001A43A6">
        <w:rPr>
          <w:bCs/>
          <w:sz w:val="24"/>
        </w:rPr>
        <w:t xml:space="preserve">Neighborhood Revitalization </w:t>
      </w:r>
      <w:r w:rsidR="00A630CE">
        <w:rPr>
          <w:bCs/>
          <w:sz w:val="24"/>
        </w:rPr>
        <w:t xml:space="preserve">(NC Neighborhood) </w:t>
      </w:r>
      <w:r w:rsidRPr="001A43A6">
        <w:rPr>
          <w:bCs/>
          <w:sz w:val="24"/>
        </w:rPr>
        <w:t>Program</w:t>
      </w:r>
    </w:p>
    <w:p w:rsidR="00A10638" w:rsidRPr="001A43A6" w:rsidRDefault="00A630CE" w:rsidP="00A10638">
      <w:pPr>
        <w:pStyle w:val="Heading1"/>
        <w:rPr>
          <w:bCs/>
          <w:sz w:val="24"/>
        </w:rPr>
      </w:pPr>
      <w:r>
        <w:rPr>
          <w:bCs/>
          <w:sz w:val="24"/>
        </w:rPr>
        <w:t xml:space="preserve"> </w:t>
      </w:r>
    </w:p>
    <w:p w:rsidR="00064751" w:rsidRPr="001A43A6" w:rsidRDefault="00064751" w:rsidP="00A10638">
      <w:pPr>
        <w:rPr>
          <w:b/>
        </w:rPr>
      </w:pPr>
    </w:p>
    <w:p w:rsidR="00860EF4" w:rsidRDefault="00860EF4" w:rsidP="00860EF4">
      <w:pPr>
        <w:framePr w:hSpace="180" w:wrap="around" w:vAnchor="text" w:hAnchor="margin" w:y="189"/>
        <w:tabs>
          <w:tab w:val="left" w:pos="2993"/>
        </w:tabs>
        <w:spacing w:line="256" w:lineRule="auto"/>
        <w:ind w:left="108"/>
      </w:pPr>
      <w:r>
        <w:t xml:space="preserve">This memorandum is to inform eligible applicants that an extension is being granted for the completion and submission of the CDBG Neighborhood Revitalization (NC Neighborhood) Program application. </w:t>
      </w:r>
    </w:p>
    <w:p w:rsidR="00860EF4" w:rsidRDefault="00860EF4" w:rsidP="00860EF4">
      <w:pPr>
        <w:framePr w:hSpace="180" w:wrap="around" w:vAnchor="text" w:hAnchor="margin" w:y="189"/>
        <w:tabs>
          <w:tab w:val="left" w:pos="2993"/>
        </w:tabs>
        <w:spacing w:line="256" w:lineRule="auto"/>
        <w:ind w:left="108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558"/>
      </w:tblGrid>
      <w:tr w:rsidR="00860EF4" w:rsidTr="00860EF4">
        <w:tc>
          <w:tcPr>
            <w:tcW w:w="2802" w:type="dxa"/>
            <w:hideMark/>
          </w:tcPr>
          <w:p w:rsidR="00860EF4" w:rsidRDefault="00860EF4" w:rsidP="00860EF4">
            <w:pPr>
              <w:framePr w:hSpace="180" w:wrap="around" w:vAnchor="text" w:hAnchor="margin" w:y="189"/>
              <w:spacing w:line="256" w:lineRule="auto"/>
            </w:pPr>
            <w:r>
              <w:rPr>
                <w:b/>
                <w:bCs/>
              </w:rPr>
              <w:t xml:space="preserve">        Funding Cycle</w:t>
            </w:r>
            <w:r>
              <w:t>:</w:t>
            </w:r>
          </w:p>
        </w:tc>
        <w:tc>
          <w:tcPr>
            <w:tcW w:w="6558" w:type="dxa"/>
          </w:tcPr>
          <w:p w:rsidR="00860EF4" w:rsidRDefault="00860EF4" w:rsidP="00860EF4">
            <w:pPr>
              <w:framePr w:hSpace="180" w:wrap="around" w:vAnchor="text" w:hAnchor="margin" w:y="189"/>
              <w:spacing w:line="256" w:lineRule="auto"/>
            </w:pPr>
            <w:r>
              <w:t xml:space="preserve">Application intake will begin on Friday, April 13, 2018 and close on </w:t>
            </w:r>
            <w:r w:rsidRPr="00ED051F">
              <w:t xml:space="preserve">Friday, </w:t>
            </w:r>
            <w:r w:rsidR="00854651">
              <w:t>September 28</w:t>
            </w:r>
            <w:r>
              <w:t xml:space="preserve">, 2018 at 5:00 PM.  For applications, please contact </w:t>
            </w:r>
            <w:hyperlink r:id="rId7" w:history="1">
              <w:r w:rsidRPr="00460624">
                <w:rPr>
                  <w:rStyle w:val="Hyperlink"/>
                </w:rPr>
                <w:t>detra.purcell@nccommerce.com</w:t>
              </w:r>
            </w:hyperlink>
            <w:r>
              <w:t xml:space="preserve">. </w:t>
            </w:r>
          </w:p>
          <w:p w:rsidR="00860EF4" w:rsidRDefault="00860EF4" w:rsidP="00860EF4">
            <w:pPr>
              <w:framePr w:hSpace="180" w:wrap="around" w:vAnchor="text" w:hAnchor="margin" w:y="189"/>
              <w:spacing w:line="256" w:lineRule="auto"/>
            </w:pPr>
          </w:p>
          <w:p w:rsidR="00860EF4" w:rsidRDefault="00860EF4" w:rsidP="00860EF4">
            <w:pPr>
              <w:framePr w:hSpace="180" w:wrap="around" w:vAnchor="text" w:hAnchor="margin" w:y="189"/>
              <w:spacing w:line="256" w:lineRule="auto"/>
            </w:pPr>
          </w:p>
        </w:tc>
      </w:tr>
    </w:tbl>
    <w:p w:rsidR="00860EF4" w:rsidRDefault="00860EF4" w:rsidP="00860EF4">
      <w:pPr>
        <w:framePr w:hSpace="180" w:wrap="around" w:vAnchor="text" w:hAnchor="margin" w:y="189"/>
        <w:tabs>
          <w:tab w:val="left" w:pos="2993"/>
        </w:tabs>
        <w:spacing w:line="256" w:lineRule="auto"/>
        <w:ind w:left="108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558"/>
      </w:tblGrid>
      <w:tr w:rsidR="00860EF4" w:rsidTr="00860EF4">
        <w:tc>
          <w:tcPr>
            <w:tcW w:w="2802" w:type="dxa"/>
            <w:hideMark/>
          </w:tcPr>
          <w:p w:rsidR="00860EF4" w:rsidRDefault="00860EF4" w:rsidP="00860EF4">
            <w:pPr>
              <w:framePr w:hSpace="180" w:wrap="around" w:vAnchor="text" w:hAnchor="margin" w:y="189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For Additional </w:t>
            </w:r>
          </w:p>
          <w:p w:rsidR="00860EF4" w:rsidRDefault="00860EF4" w:rsidP="00860EF4">
            <w:pPr>
              <w:framePr w:hSpace="180" w:wrap="around" w:vAnchor="text" w:hAnchor="margin" w:y="189"/>
              <w:spacing w:line="256" w:lineRule="auto"/>
            </w:pPr>
            <w:r>
              <w:rPr>
                <w:b/>
                <w:bCs/>
              </w:rPr>
              <w:t xml:space="preserve">        Information</w:t>
            </w:r>
            <w:r>
              <w:t>:</w:t>
            </w:r>
          </w:p>
        </w:tc>
        <w:tc>
          <w:tcPr>
            <w:tcW w:w="6558" w:type="dxa"/>
            <w:hideMark/>
          </w:tcPr>
          <w:p w:rsidR="00860EF4" w:rsidRDefault="00860EF4" w:rsidP="00860EF4">
            <w:pPr>
              <w:framePr w:hSpace="180" w:wrap="around" w:vAnchor="text" w:hAnchor="margin" w:y="189"/>
              <w:spacing w:line="256" w:lineRule="auto"/>
            </w:pPr>
            <w:r>
              <w:t>Contact Detra Purcell at (919) 814-4754 or (TDD 1-800-735-2962).</w:t>
            </w:r>
          </w:p>
        </w:tc>
      </w:tr>
    </w:tbl>
    <w:p w:rsidR="00860EF4" w:rsidRDefault="00860EF4" w:rsidP="00860EF4">
      <w:pPr>
        <w:framePr w:hSpace="180" w:wrap="around" w:vAnchor="text" w:hAnchor="margin" w:y="189"/>
        <w:tabs>
          <w:tab w:val="left" w:pos="3438"/>
        </w:tabs>
        <w:spacing w:line="256" w:lineRule="auto"/>
        <w:ind w:left="108"/>
      </w:pPr>
    </w:p>
    <w:p w:rsidR="00860EF4" w:rsidRDefault="00860EF4" w:rsidP="00860EF4">
      <w:pPr>
        <w:framePr w:hSpace="180" w:wrap="around" w:vAnchor="text" w:hAnchor="margin" w:y="189"/>
        <w:tabs>
          <w:tab w:val="left" w:pos="2970"/>
        </w:tabs>
        <w:spacing w:line="256" w:lineRule="auto"/>
        <w:ind w:left="108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558"/>
      </w:tblGrid>
      <w:tr w:rsidR="00064751" w:rsidTr="00860EF4">
        <w:tc>
          <w:tcPr>
            <w:tcW w:w="2802" w:type="dxa"/>
          </w:tcPr>
          <w:p w:rsidR="00064751" w:rsidRDefault="00064751" w:rsidP="001A43A6">
            <w:pPr>
              <w:tabs>
                <w:tab w:val="left" w:pos="696"/>
                <w:tab w:val="left" w:pos="879"/>
              </w:tabs>
              <w:spacing w:line="256" w:lineRule="auto"/>
              <w:ind w:left="69"/>
              <w:jc w:val="center"/>
            </w:pPr>
          </w:p>
        </w:tc>
        <w:tc>
          <w:tcPr>
            <w:tcW w:w="6558" w:type="dxa"/>
          </w:tcPr>
          <w:p w:rsidR="00064751" w:rsidRDefault="00064751">
            <w:pPr>
              <w:spacing w:line="256" w:lineRule="auto"/>
            </w:pPr>
          </w:p>
        </w:tc>
      </w:tr>
      <w:tr w:rsidR="00860EF4" w:rsidTr="00860EF4">
        <w:tc>
          <w:tcPr>
            <w:tcW w:w="2802" w:type="dxa"/>
          </w:tcPr>
          <w:p w:rsidR="00860EF4" w:rsidRDefault="00860EF4" w:rsidP="001A43A6">
            <w:pPr>
              <w:tabs>
                <w:tab w:val="left" w:pos="696"/>
                <w:tab w:val="left" w:pos="879"/>
              </w:tabs>
              <w:spacing w:line="256" w:lineRule="auto"/>
              <w:ind w:left="69"/>
              <w:jc w:val="center"/>
            </w:pPr>
          </w:p>
        </w:tc>
        <w:tc>
          <w:tcPr>
            <w:tcW w:w="6558" w:type="dxa"/>
          </w:tcPr>
          <w:p w:rsidR="00860EF4" w:rsidRDefault="00860EF4">
            <w:pPr>
              <w:spacing w:line="256" w:lineRule="auto"/>
            </w:pPr>
          </w:p>
        </w:tc>
      </w:tr>
      <w:tr w:rsidR="00064751" w:rsidTr="00860EF4">
        <w:tc>
          <w:tcPr>
            <w:tcW w:w="2802" w:type="dxa"/>
          </w:tcPr>
          <w:p w:rsidR="00064751" w:rsidRDefault="00064751" w:rsidP="00064751">
            <w:pPr>
              <w:spacing w:line="256" w:lineRule="auto"/>
            </w:pPr>
          </w:p>
        </w:tc>
        <w:tc>
          <w:tcPr>
            <w:tcW w:w="6558" w:type="dxa"/>
          </w:tcPr>
          <w:p w:rsidR="00064751" w:rsidRDefault="00064751">
            <w:pPr>
              <w:spacing w:line="256" w:lineRule="auto"/>
            </w:pPr>
          </w:p>
        </w:tc>
      </w:tr>
      <w:tr w:rsidR="00064751" w:rsidTr="00860EF4">
        <w:tc>
          <w:tcPr>
            <w:tcW w:w="2802" w:type="dxa"/>
          </w:tcPr>
          <w:p w:rsidR="00064751" w:rsidRDefault="00064751">
            <w:pPr>
              <w:spacing w:line="256" w:lineRule="auto"/>
              <w:jc w:val="right"/>
            </w:pPr>
          </w:p>
        </w:tc>
        <w:tc>
          <w:tcPr>
            <w:tcW w:w="6558" w:type="dxa"/>
          </w:tcPr>
          <w:p w:rsidR="00064751" w:rsidRDefault="00064751">
            <w:pPr>
              <w:spacing w:line="256" w:lineRule="auto"/>
            </w:pPr>
          </w:p>
        </w:tc>
      </w:tr>
      <w:tr w:rsidR="00064751" w:rsidTr="00860EF4">
        <w:tc>
          <w:tcPr>
            <w:tcW w:w="2802" w:type="dxa"/>
          </w:tcPr>
          <w:p w:rsidR="00064751" w:rsidRDefault="00064751" w:rsidP="00064751">
            <w:pPr>
              <w:spacing w:line="256" w:lineRule="auto"/>
            </w:pPr>
          </w:p>
        </w:tc>
        <w:tc>
          <w:tcPr>
            <w:tcW w:w="6558" w:type="dxa"/>
          </w:tcPr>
          <w:p w:rsidR="00064751" w:rsidRDefault="00064751">
            <w:pPr>
              <w:spacing w:line="256" w:lineRule="auto"/>
            </w:pPr>
          </w:p>
        </w:tc>
      </w:tr>
      <w:tr w:rsidR="00064751" w:rsidTr="00860EF4">
        <w:tc>
          <w:tcPr>
            <w:tcW w:w="2802" w:type="dxa"/>
          </w:tcPr>
          <w:p w:rsidR="00064751" w:rsidRDefault="00064751">
            <w:pPr>
              <w:spacing w:line="256" w:lineRule="auto"/>
              <w:jc w:val="right"/>
            </w:pPr>
          </w:p>
        </w:tc>
        <w:tc>
          <w:tcPr>
            <w:tcW w:w="6558" w:type="dxa"/>
          </w:tcPr>
          <w:p w:rsidR="00064751" w:rsidRDefault="00064751">
            <w:pPr>
              <w:spacing w:line="256" w:lineRule="auto"/>
            </w:pPr>
          </w:p>
        </w:tc>
      </w:tr>
      <w:tr w:rsidR="00064751" w:rsidTr="00860EF4">
        <w:tc>
          <w:tcPr>
            <w:tcW w:w="2802" w:type="dxa"/>
          </w:tcPr>
          <w:p w:rsidR="00064751" w:rsidRDefault="00064751" w:rsidP="00064751">
            <w:pPr>
              <w:spacing w:line="256" w:lineRule="auto"/>
            </w:pPr>
          </w:p>
        </w:tc>
        <w:tc>
          <w:tcPr>
            <w:tcW w:w="6558" w:type="dxa"/>
          </w:tcPr>
          <w:p w:rsidR="00064751" w:rsidRDefault="00064751">
            <w:pPr>
              <w:spacing w:line="256" w:lineRule="auto"/>
            </w:pPr>
          </w:p>
        </w:tc>
      </w:tr>
      <w:tr w:rsidR="00064751" w:rsidTr="00860EF4">
        <w:tc>
          <w:tcPr>
            <w:tcW w:w="2802" w:type="dxa"/>
          </w:tcPr>
          <w:p w:rsidR="00064751" w:rsidRDefault="00064751" w:rsidP="00064751">
            <w:pPr>
              <w:spacing w:line="256" w:lineRule="auto"/>
            </w:pPr>
          </w:p>
        </w:tc>
        <w:tc>
          <w:tcPr>
            <w:tcW w:w="6558" w:type="dxa"/>
          </w:tcPr>
          <w:p w:rsidR="00064751" w:rsidRDefault="00064751" w:rsidP="00A630CE">
            <w:pPr>
              <w:spacing w:line="256" w:lineRule="auto"/>
            </w:pPr>
          </w:p>
        </w:tc>
      </w:tr>
    </w:tbl>
    <w:p w:rsidR="00202C07" w:rsidRDefault="00202C07" w:rsidP="008E03AF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sectPr w:rsidR="00202C07" w:rsidSect="001A43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3F6" w:rsidRDefault="004613F6">
      <w:r>
        <w:separator/>
      </w:r>
    </w:p>
  </w:endnote>
  <w:endnote w:type="continuationSeparator" w:id="0">
    <w:p w:rsidR="004613F6" w:rsidRDefault="0046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EF2" w:rsidRDefault="00545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4EC" w:rsidRPr="0098035F" w:rsidRDefault="00561183" w:rsidP="0098035F">
    <w:pPr>
      <w:pStyle w:val="Footer"/>
      <w:tabs>
        <w:tab w:val="clear" w:pos="8640"/>
        <w:tab w:val="right" w:pos="10440"/>
      </w:tabs>
      <w:ind w:left="-1800"/>
    </w:pPr>
    <w:r>
      <w:rPr>
        <w:noProof/>
        <w:lang w:eastAsia="en-US"/>
      </w:rPr>
      <w:drawing>
        <wp:anchor distT="0" distB="0" distL="114300" distR="114300" simplePos="0" relativeHeight="251656704" behindDoc="1" locked="0" layoutInCell="1" allowOverlap="0" wp14:anchorId="7A81E2A4" wp14:editId="562948A6">
          <wp:simplePos x="0" y="0"/>
          <wp:positionH relativeFrom="page">
            <wp:posOffset>0</wp:posOffset>
          </wp:positionH>
          <wp:positionV relativeFrom="page">
            <wp:posOffset>8999220</wp:posOffset>
          </wp:positionV>
          <wp:extent cx="7772400" cy="1059180"/>
          <wp:effectExtent l="0" t="0" r="0" b="762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rts-1375-02 CltSportsFound_ltrhd w board.jpg"/>
                  <pic:cNvPicPr preferRelativeResize="0"/>
                </pic:nvPicPr>
                <pic:blipFill rotWithShape="1">
                  <a:blip r:embed="rId1"/>
                  <a:srcRect t="89470"/>
                  <a:stretch/>
                </pic:blipFill>
                <pic:spPr bwMode="auto">
                  <a:xfrm>
                    <a:off x="0" y="0"/>
                    <a:ext cx="7772400" cy="1059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EF2" w:rsidRDefault="00545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3F6" w:rsidRDefault="004613F6">
      <w:r>
        <w:separator/>
      </w:r>
    </w:p>
  </w:footnote>
  <w:footnote w:type="continuationSeparator" w:id="0">
    <w:p w:rsidR="004613F6" w:rsidRDefault="00461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EF2" w:rsidRDefault="00545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4EC" w:rsidRDefault="00C164EC" w:rsidP="0098035F">
    <w:pPr>
      <w:pStyle w:val="Header"/>
      <w:tabs>
        <w:tab w:val="clear" w:pos="8640"/>
        <w:tab w:val="right" w:pos="10440"/>
      </w:tabs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C07" w:rsidRDefault="00202C0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0" wp14:anchorId="6BA80DB5" wp14:editId="1FA5FED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0038" cy="10055344"/>
          <wp:effectExtent l="0" t="0" r="2540" b="317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rts-1375-02 CltSportsFound_ltrhd w boa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0038" cy="1005534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51"/>
    <w:rsid w:val="00006FF7"/>
    <w:rsid w:val="00064751"/>
    <w:rsid w:val="000A07DB"/>
    <w:rsid w:val="001005D6"/>
    <w:rsid w:val="00143B70"/>
    <w:rsid w:val="0018280F"/>
    <w:rsid w:val="001A43A6"/>
    <w:rsid w:val="001C4F19"/>
    <w:rsid w:val="00202C07"/>
    <w:rsid w:val="002437F0"/>
    <w:rsid w:val="002A447E"/>
    <w:rsid w:val="002D391A"/>
    <w:rsid w:val="002F1EC8"/>
    <w:rsid w:val="003778EA"/>
    <w:rsid w:val="00383436"/>
    <w:rsid w:val="003A4FF9"/>
    <w:rsid w:val="003B74AF"/>
    <w:rsid w:val="003C4B29"/>
    <w:rsid w:val="004104A7"/>
    <w:rsid w:val="004613F6"/>
    <w:rsid w:val="00470FB5"/>
    <w:rsid w:val="00545EF2"/>
    <w:rsid w:val="00561183"/>
    <w:rsid w:val="0059676B"/>
    <w:rsid w:val="005A1C7D"/>
    <w:rsid w:val="005A62DF"/>
    <w:rsid w:val="005B3749"/>
    <w:rsid w:val="005D5F75"/>
    <w:rsid w:val="005E1EF7"/>
    <w:rsid w:val="00723B00"/>
    <w:rsid w:val="007C0599"/>
    <w:rsid w:val="007E1844"/>
    <w:rsid w:val="00845D3E"/>
    <w:rsid w:val="00854651"/>
    <w:rsid w:val="00857005"/>
    <w:rsid w:val="00860EF4"/>
    <w:rsid w:val="008B5DFD"/>
    <w:rsid w:val="008D0BFD"/>
    <w:rsid w:val="008E03AF"/>
    <w:rsid w:val="008E7076"/>
    <w:rsid w:val="00903B1F"/>
    <w:rsid w:val="009456F4"/>
    <w:rsid w:val="0098035F"/>
    <w:rsid w:val="009D4009"/>
    <w:rsid w:val="00A10638"/>
    <w:rsid w:val="00A4719B"/>
    <w:rsid w:val="00A630CE"/>
    <w:rsid w:val="00A8663D"/>
    <w:rsid w:val="00AA5F59"/>
    <w:rsid w:val="00AD7B07"/>
    <w:rsid w:val="00B17803"/>
    <w:rsid w:val="00B37D56"/>
    <w:rsid w:val="00BB254E"/>
    <w:rsid w:val="00BD711A"/>
    <w:rsid w:val="00BE6D2D"/>
    <w:rsid w:val="00C14F9F"/>
    <w:rsid w:val="00C164EC"/>
    <w:rsid w:val="00C413C1"/>
    <w:rsid w:val="00C96F4A"/>
    <w:rsid w:val="00CD3594"/>
    <w:rsid w:val="00CF1ABD"/>
    <w:rsid w:val="00D223C5"/>
    <w:rsid w:val="00D37B06"/>
    <w:rsid w:val="00DB1140"/>
    <w:rsid w:val="00DE6A55"/>
    <w:rsid w:val="00E24E2F"/>
    <w:rsid w:val="00ED051F"/>
    <w:rsid w:val="00ED6F14"/>
    <w:rsid w:val="00F45324"/>
    <w:rsid w:val="00F70376"/>
    <w:rsid w:val="00FA0B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12B068A2"/>
  <w15:docId w15:val="{C1F41BA8-D468-4A75-A61B-7C7E4538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751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64751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64751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styleId="BalloonText">
    <w:name w:val="Balloon Text"/>
    <w:basedOn w:val="Normal"/>
    <w:link w:val="BalloonTextChar"/>
    <w:uiPriority w:val="99"/>
    <w:semiHidden/>
    <w:unhideWhenUsed/>
    <w:rsid w:val="00470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64751"/>
    <w:rPr>
      <w:rFonts w:ascii="Times New Roman" w:eastAsia="Times New Roman" w:hAnsi="Times New Roman" w:cs="Times New Roman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64751"/>
    <w:rPr>
      <w:rFonts w:ascii="Times New Roman" w:eastAsia="Times New Roman" w:hAnsi="Times New Roman" w:cs="Times New Roman"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2F1EC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EC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630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etra.purcell@nccommerc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limehouse\Desktop\Changed%20New%20Letterhead\Rural-ltrhd-General_black_August2017-revi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592101-D9A3-4E3A-8E58-4751D3D1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Rural-ltrhd-General_black_August2017-revision</Template>
  <TotalTime>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Purcell, Detra L</cp:lastModifiedBy>
  <cp:revision>5</cp:revision>
  <cp:lastPrinted>2017-11-27T13:13:00Z</cp:lastPrinted>
  <dcterms:created xsi:type="dcterms:W3CDTF">2018-05-08T15:51:00Z</dcterms:created>
  <dcterms:modified xsi:type="dcterms:W3CDTF">2018-05-11T14:40:00Z</dcterms:modified>
</cp:coreProperties>
</file>