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C07" w:rsidRDefault="00202C07" w:rsidP="008E03AF">
      <w:pPr>
        <w:autoSpaceDE w:val="0"/>
        <w:autoSpaceDN w:val="0"/>
        <w:adjustRightInd w:val="0"/>
        <w:spacing w:after="240"/>
        <w:rPr>
          <w:rFonts w:cs="Arial"/>
          <w:sz w:val="20"/>
          <w:szCs w:val="20"/>
        </w:rPr>
      </w:pPr>
      <w:bookmarkStart w:id="0" w:name="_GoBack"/>
      <w:bookmarkEnd w:id="0"/>
    </w:p>
    <w:p w:rsidR="001C4F19" w:rsidRDefault="001C4F19" w:rsidP="008E03AF">
      <w:pPr>
        <w:autoSpaceDE w:val="0"/>
        <w:autoSpaceDN w:val="0"/>
        <w:adjustRightInd w:val="0"/>
        <w:spacing w:after="240"/>
        <w:rPr>
          <w:rFonts w:cs="Arial"/>
          <w:sz w:val="20"/>
          <w:szCs w:val="20"/>
        </w:rPr>
      </w:pPr>
    </w:p>
    <w:p w:rsidR="001C4F19" w:rsidRDefault="001C4F19" w:rsidP="008E03AF">
      <w:pPr>
        <w:autoSpaceDE w:val="0"/>
        <w:autoSpaceDN w:val="0"/>
        <w:adjustRightInd w:val="0"/>
        <w:spacing w:after="240"/>
        <w:rPr>
          <w:rFonts w:cs="Arial"/>
          <w:sz w:val="20"/>
          <w:szCs w:val="20"/>
        </w:rPr>
      </w:pPr>
    </w:p>
    <w:p w:rsidR="00202C07" w:rsidRDefault="00202C07" w:rsidP="008E03AF">
      <w:pPr>
        <w:autoSpaceDE w:val="0"/>
        <w:autoSpaceDN w:val="0"/>
        <w:adjustRightInd w:val="0"/>
        <w:spacing w:after="240"/>
        <w:rPr>
          <w:rFonts w:cs="Arial"/>
          <w:sz w:val="20"/>
          <w:szCs w:val="20"/>
        </w:rPr>
      </w:pPr>
    </w:p>
    <w:p w:rsidR="00A10638" w:rsidRDefault="00A10638" w:rsidP="008E03AF">
      <w:pPr>
        <w:autoSpaceDE w:val="0"/>
        <w:autoSpaceDN w:val="0"/>
        <w:adjustRightInd w:val="0"/>
        <w:spacing w:after="240"/>
        <w:rPr>
          <w:rFonts w:cs="Arial"/>
          <w:sz w:val="20"/>
          <w:szCs w:val="20"/>
        </w:rPr>
      </w:pPr>
    </w:p>
    <w:p w:rsidR="00A10638" w:rsidRDefault="00A10638" w:rsidP="008E03AF">
      <w:pPr>
        <w:autoSpaceDE w:val="0"/>
        <w:autoSpaceDN w:val="0"/>
        <w:adjustRightInd w:val="0"/>
        <w:spacing w:after="240"/>
        <w:rPr>
          <w:rFonts w:cs="Arial"/>
          <w:sz w:val="20"/>
          <w:szCs w:val="20"/>
        </w:rPr>
      </w:pPr>
    </w:p>
    <w:p w:rsidR="00064751" w:rsidRPr="00A10638" w:rsidRDefault="00A10638" w:rsidP="00064751">
      <w:pPr>
        <w:pStyle w:val="Heading1"/>
        <w:rPr>
          <w:b/>
          <w:bCs/>
          <w:sz w:val="28"/>
          <w:szCs w:val="28"/>
        </w:rPr>
      </w:pPr>
      <w:r w:rsidRPr="00A10638">
        <w:rPr>
          <w:b/>
          <w:bCs/>
          <w:sz w:val="28"/>
          <w:szCs w:val="28"/>
        </w:rPr>
        <w:t>MEMORANDUM</w:t>
      </w:r>
    </w:p>
    <w:p w:rsidR="00A10638" w:rsidRPr="00A10638" w:rsidRDefault="00A10638" w:rsidP="00A10638">
      <w:pPr>
        <w:rPr>
          <w:sz w:val="28"/>
          <w:szCs w:val="28"/>
        </w:rPr>
      </w:pPr>
    </w:p>
    <w:p w:rsidR="00A10638" w:rsidRPr="001A43A6" w:rsidRDefault="00A10638" w:rsidP="00A10638">
      <w:pPr>
        <w:rPr>
          <w:b/>
        </w:rPr>
      </w:pPr>
      <w:r w:rsidRPr="001A43A6">
        <w:rPr>
          <w:b/>
        </w:rPr>
        <w:t xml:space="preserve">TO:  </w:t>
      </w:r>
      <w:r w:rsidR="005D5F75">
        <w:rPr>
          <w:b/>
        </w:rPr>
        <w:tab/>
      </w:r>
      <w:r w:rsidR="005D5F75">
        <w:rPr>
          <w:b/>
        </w:rPr>
        <w:tab/>
      </w:r>
      <w:r w:rsidR="005D5F75" w:rsidRPr="005D5F75">
        <w:t>Local Government Offici</w:t>
      </w:r>
      <w:r w:rsidR="005D5F75">
        <w:t xml:space="preserve">als and Other Interested </w:t>
      </w:r>
      <w:r w:rsidR="005D5F75" w:rsidRPr="005D5F75">
        <w:t>Parties</w:t>
      </w:r>
    </w:p>
    <w:p w:rsidR="00A10638" w:rsidRPr="001A43A6" w:rsidRDefault="00A10638" w:rsidP="00A10638">
      <w:pPr>
        <w:rPr>
          <w:b/>
        </w:rPr>
      </w:pPr>
    </w:p>
    <w:p w:rsidR="00A10638" w:rsidRPr="001A43A6" w:rsidRDefault="00A10638" w:rsidP="00A10638">
      <w:r w:rsidRPr="001A43A6">
        <w:rPr>
          <w:b/>
        </w:rPr>
        <w:t xml:space="preserve">FROM:  </w:t>
      </w:r>
      <w:r w:rsidRPr="001A43A6">
        <w:rPr>
          <w:b/>
        </w:rPr>
        <w:tab/>
      </w:r>
      <w:r w:rsidRPr="001A43A6">
        <w:t>Iris Payne, Director</w:t>
      </w:r>
    </w:p>
    <w:p w:rsidR="00A10638" w:rsidRPr="001A43A6" w:rsidRDefault="00A10638" w:rsidP="00A10638">
      <w:r w:rsidRPr="001A43A6">
        <w:tab/>
        <w:t xml:space="preserve">    </w:t>
      </w:r>
      <w:r w:rsidRPr="001A43A6">
        <w:tab/>
      </w:r>
      <w:r w:rsidR="001A43A6">
        <w:t xml:space="preserve">Division of </w:t>
      </w:r>
      <w:r w:rsidRPr="001A43A6">
        <w:t>Rur</w:t>
      </w:r>
      <w:r w:rsidR="001A43A6">
        <w:t xml:space="preserve">al Economic Development </w:t>
      </w:r>
      <w:r w:rsidRPr="001A43A6">
        <w:t xml:space="preserve"> </w:t>
      </w:r>
    </w:p>
    <w:p w:rsidR="00A10638" w:rsidRPr="001A43A6" w:rsidRDefault="00A10638" w:rsidP="00A10638"/>
    <w:p w:rsidR="00A10638" w:rsidRPr="001A43A6" w:rsidRDefault="00A10638" w:rsidP="00A10638">
      <w:pPr>
        <w:rPr>
          <w:b/>
        </w:rPr>
      </w:pPr>
      <w:r w:rsidRPr="001A43A6">
        <w:rPr>
          <w:b/>
        </w:rPr>
        <w:t xml:space="preserve">DATE: </w:t>
      </w:r>
      <w:r w:rsidRPr="001A43A6">
        <w:rPr>
          <w:b/>
        </w:rPr>
        <w:tab/>
      </w:r>
      <w:r w:rsidR="00A630CE" w:rsidRPr="00A630CE">
        <w:t xml:space="preserve">April </w:t>
      </w:r>
      <w:r w:rsidR="00A4719B">
        <w:t>10</w:t>
      </w:r>
      <w:r w:rsidR="00A630CE" w:rsidRPr="00A630CE">
        <w:t>, 2018</w:t>
      </w:r>
    </w:p>
    <w:p w:rsidR="00A10638" w:rsidRPr="001A43A6" w:rsidRDefault="00A10638" w:rsidP="00A10638">
      <w:pPr>
        <w:rPr>
          <w:b/>
        </w:rPr>
      </w:pPr>
    </w:p>
    <w:p w:rsidR="00A10638" w:rsidRPr="001A43A6" w:rsidRDefault="00A10638" w:rsidP="00A10638">
      <w:pPr>
        <w:pStyle w:val="Heading1"/>
        <w:rPr>
          <w:bCs/>
          <w:sz w:val="24"/>
        </w:rPr>
      </w:pPr>
      <w:r w:rsidRPr="001A43A6">
        <w:rPr>
          <w:b/>
          <w:sz w:val="24"/>
        </w:rPr>
        <w:t xml:space="preserve">SUBJECT:  </w:t>
      </w:r>
      <w:r w:rsidRPr="001A43A6">
        <w:rPr>
          <w:b/>
          <w:sz w:val="24"/>
        </w:rPr>
        <w:tab/>
      </w:r>
      <w:r w:rsidRPr="001A43A6">
        <w:rPr>
          <w:bCs/>
          <w:sz w:val="24"/>
        </w:rPr>
        <w:t xml:space="preserve">Neighborhood Revitalization </w:t>
      </w:r>
      <w:r w:rsidR="00A630CE">
        <w:rPr>
          <w:bCs/>
          <w:sz w:val="24"/>
        </w:rPr>
        <w:t xml:space="preserve">(NC Neighborhood) </w:t>
      </w:r>
      <w:r w:rsidRPr="001A43A6">
        <w:rPr>
          <w:bCs/>
          <w:sz w:val="24"/>
        </w:rPr>
        <w:t>Program</w:t>
      </w:r>
      <w:r w:rsidR="00A630CE">
        <w:rPr>
          <w:bCs/>
          <w:sz w:val="24"/>
        </w:rPr>
        <w:t xml:space="preserve"> </w:t>
      </w:r>
    </w:p>
    <w:p w:rsidR="00064751" w:rsidRPr="001A43A6" w:rsidRDefault="00064751" w:rsidP="00A10638">
      <w:pPr>
        <w:rPr>
          <w:b/>
        </w:rPr>
      </w:pPr>
    </w:p>
    <w:p w:rsidR="00064751" w:rsidRPr="001A43A6" w:rsidRDefault="00064751" w:rsidP="00064751">
      <w:pPr>
        <w:rPr>
          <w:sz w:val="28"/>
        </w:rPr>
      </w:pPr>
    </w:p>
    <w:tbl>
      <w:tblPr>
        <w:tblW w:w="0" w:type="auto"/>
        <w:tblLook w:val="04A0" w:firstRow="1" w:lastRow="0" w:firstColumn="1" w:lastColumn="0" w:noHBand="0" w:noVBand="1"/>
      </w:tblPr>
      <w:tblGrid>
        <w:gridCol w:w="2840"/>
        <w:gridCol w:w="23"/>
        <w:gridCol w:w="441"/>
        <w:gridCol w:w="6056"/>
      </w:tblGrid>
      <w:tr w:rsidR="00064751" w:rsidTr="00064751">
        <w:tc>
          <w:tcPr>
            <w:tcW w:w="2863" w:type="dxa"/>
            <w:gridSpan w:val="2"/>
            <w:hideMark/>
          </w:tcPr>
          <w:p w:rsidR="00064751" w:rsidRDefault="00064751" w:rsidP="001A43A6">
            <w:pPr>
              <w:spacing w:line="256" w:lineRule="auto"/>
              <w:ind w:left="-111"/>
            </w:pPr>
            <w:r>
              <w:rPr>
                <w:b/>
                <w:bCs/>
              </w:rPr>
              <w:t>Administering Agency</w:t>
            </w:r>
            <w:r>
              <w:t>:</w:t>
            </w:r>
          </w:p>
        </w:tc>
        <w:tc>
          <w:tcPr>
            <w:tcW w:w="6497" w:type="dxa"/>
            <w:gridSpan w:val="2"/>
            <w:hideMark/>
          </w:tcPr>
          <w:p w:rsidR="00064751" w:rsidRDefault="00064751">
            <w:pPr>
              <w:spacing w:line="256" w:lineRule="auto"/>
            </w:pPr>
            <w:r>
              <w:t xml:space="preserve">Division of Rural Economic Development (REDD), N.C. Department of Commerce, 301 North Wilmington Street, 4346 Mail Service Center, Raleigh, </w:t>
            </w:r>
          </w:p>
          <w:p w:rsidR="00064751" w:rsidRDefault="00064751">
            <w:pPr>
              <w:spacing w:line="256" w:lineRule="auto"/>
            </w:pPr>
            <w:r>
              <w:t>North Carolina, 27699-4346</w:t>
            </w:r>
          </w:p>
        </w:tc>
      </w:tr>
      <w:tr w:rsidR="00064751" w:rsidTr="00064751">
        <w:tc>
          <w:tcPr>
            <w:tcW w:w="2863" w:type="dxa"/>
            <w:gridSpan w:val="2"/>
          </w:tcPr>
          <w:p w:rsidR="00064751" w:rsidRDefault="00064751">
            <w:pPr>
              <w:spacing w:line="256" w:lineRule="auto"/>
              <w:jc w:val="right"/>
            </w:pPr>
          </w:p>
        </w:tc>
        <w:tc>
          <w:tcPr>
            <w:tcW w:w="6497" w:type="dxa"/>
            <w:gridSpan w:val="2"/>
          </w:tcPr>
          <w:p w:rsidR="00064751" w:rsidRDefault="00064751">
            <w:pPr>
              <w:spacing w:line="256" w:lineRule="auto"/>
            </w:pPr>
          </w:p>
        </w:tc>
      </w:tr>
      <w:tr w:rsidR="00064751" w:rsidTr="00064751">
        <w:tc>
          <w:tcPr>
            <w:tcW w:w="2863" w:type="dxa"/>
            <w:gridSpan w:val="2"/>
            <w:hideMark/>
          </w:tcPr>
          <w:p w:rsidR="00064751" w:rsidRDefault="00064751" w:rsidP="001A43A6">
            <w:pPr>
              <w:spacing w:line="256" w:lineRule="auto"/>
              <w:ind w:left="-111"/>
            </w:pPr>
            <w:r>
              <w:rPr>
                <w:b/>
                <w:bCs/>
              </w:rPr>
              <w:t>Program Description</w:t>
            </w:r>
            <w:r>
              <w:t>:</w:t>
            </w:r>
          </w:p>
        </w:tc>
        <w:tc>
          <w:tcPr>
            <w:tcW w:w="6497" w:type="dxa"/>
            <w:gridSpan w:val="2"/>
            <w:hideMark/>
          </w:tcPr>
          <w:p w:rsidR="00064751" w:rsidRDefault="00064751">
            <w:pPr>
              <w:spacing w:line="256" w:lineRule="auto"/>
            </w:pPr>
            <w:r>
              <w:t xml:space="preserve">The Neighborhood Revitalization (NR) category is designed to provide grants to local unit of governments for </w:t>
            </w:r>
            <w:r w:rsidR="00D37B06">
              <w:t xml:space="preserve">housing, housing related activities, and public facilities that </w:t>
            </w:r>
            <w:r w:rsidR="00383436">
              <w:t>support</w:t>
            </w:r>
            <w:r w:rsidR="00D37B06">
              <w:t xml:space="preserve"> housing activities</w:t>
            </w:r>
            <w:r>
              <w:t xml:space="preserve"> for low-to moderate-income persons. Awards a</w:t>
            </w:r>
            <w:r w:rsidR="008B5DFD">
              <w:t>re made on a competitive basis based on the number of applications received compared to funding availability.</w:t>
            </w:r>
            <w:r>
              <w:t xml:space="preserve">     </w:t>
            </w:r>
          </w:p>
        </w:tc>
      </w:tr>
      <w:tr w:rsidR="00064751" w:rsidTr="00064751">
        <w:tc>
          <w:tcPr>
            <w:tcW w:w="3304" w:type="dxa"/>
            <w:gridSpan w:val="3"/>
          </w:tcPr>
          <w:p w:rsidR="00064751" w:rsidRDefault="00064751">
            <w:pPr>
              <w:spacing w:line="256" w:lineRule="auto"/>
              <w:jc w:val="right"/>
            </w:pPr>
          </w:p>
        </w:tc>
        <w:tc>
          <w:tcPr>
            <w:tcW w:w="6056" w:type="dxa"/>
          </w:tcPr>
          <w:p w:rsidR="00064751" w:rsidRDefault="00064751">
            <w:pPr>
              <w:spacing w:line="256" w:lineRule="auto"/>
            </w:pPr>
          </w:p>
        </w:tc>
      </w:tr>
      <w:tr w:rsidR="00064751" w:rsidTr="00064751">
        <w:tc>
          <w:tcPr>
            <w:tcW w:w="2840" w:type="dxa"/>
            <w:hideMark/>
          </w:tcPr>
          <w:p w:rsidR="00064751" w:rsidRDefault="00064751" w:rsidP="001A43A6">
            <w:pPr>
              <w:spacing w:line="256" w:lineRule="auto"/>
              <w:ind w:left="-111"/>
            </w:pPr>
            <w:r>
              <w:rPr>
                <w:b/>
                <w:bCs/>
              </w:rPr>
              <w:t>Eligibility Guidelines</w:t>
            </w:r>
            <w:r>
              <w:t>:</w:t>
            </w:r>
          </w:p>
        </w:tc>
        <w:tc>
          <w:tcPr>
            <w:tcW w:w="6520" w:type="dxa"/>
            <w:gridSpan w:val="3"/>
          </w:tcPr>
          <w:p w:rsidR="00064751" w:rsidRDefault="00064751">
            <w:pPr>
              <w:spacing w:line="256" w:lineRule="auto"/>
            </w:pPr>
            <w:r>
              <w:t>Except for 24 entitlement cities that receive funds directly from the U.S. Department of Housing and Urban Development (HUD), all municipalities are eligible to receive Small Cities</w:t>
            </w:r>
            <w:r w:rsidR="00A10638">
              <w:t xml:space="preserve"> </w:t>
            </w:r>
            <w:r>
              <w:t>CDBG funds.  North Carolina’s entitlement cities are: Asheville, Burlington, Cary, Chapel Hill, Charlotte, Concord, Durham, Fayetteville, Gastonia, Goldsboro, Greensboro, Greenville, Hickory, High Point, Jacksonville, Kannapolis, Lenoir, Morganton, New Bern, Raleigh, Rocky Mount, Salisbury, Wilmington, and Winston-Salem.</w:t>
            </w:r>
          </w:p>
          <w:p w:rsidR="00064751" w:rsidRDefault="00064751">
            <w:pPr>
              <w:spacing w:line="256" w:lineRule="auto"/>
            </w:pPr>
          </w:p>
          <w:p w:rsidR="00064751" w:rsidRDefault="00064751">
            <w:pPr>
              <w:spacing w:line="256" w:lineRule="auto"/>
            </w:pPr>
            <w:r>
              <w:lastRenderedPageBreak/>
              <w:t xml:space="preserve">All counties, except for the </w:t>
            </w:r>
            <w:r w:rsidR="00383436">
              <w:t>four</w:t>
            </w:r>
            <w:r>
              <w:t xml:space="preserve"> HUD-designated urban counties of Wake</w:t>
            </w:r>
            <w:r w:rsidR="00D37B06">
              <w:t>, C</w:t>
            </w:r>
            <w:r>
              <w:t>umberland,</w:t>
            </w:r>
            <w:r w:rsidR="00D37B06">
              <w:t xml:space="preserve"> Mecklenburg, and Union</w:t>
            </w:r>
            <w:r>
              <w:t xml:space="preserve"> are eligible to apply for Small Cities CDBG funds.  All municipalities in the two counties are ineligible except for the Town of Holly Springs in Wake County and the Town of Linden in Cumberland County.</w:t>
            </w:r>
          </w:p>
        </w:tc>
      </w:tr>
    </w:tbl>
    <w:p w:rsidR="00064751" w:rsidRDefault="00064751" w:rsidP="00064751"/>
    <w:tbl>
      <w:tblPr>
        <w:tblW w:w="0" w:type="auto"/>
        <w:tblLook w:val="04A0" w:firstRow="1" w:lastRow="0" w:firstColumn="1" w:lastColumn="0" w:noHBand="0" w:noVBand="1"/>
      </w:tblPr>
      <w:tblGrid>
        <w:gridCol w:w="2802"/>
        <w:gridCol w:w="6558"/>
      </w:tblGrid>
      <w:tr w:rsidR="00064751" w:rsidTr="00064751">
        <w:tc>
          <w:tcPr>
            <w:tcW w:w="2988" w:type="dxa"/>
            <w:hideMark/>
          </w:tcPr>
          <w:p w:rsidR="00064751" w:rsidRDefault="00064751" w:rsidP="001A43A6">
            <w:pPr>
              <w:tabs>
                <w:tab w:val="left" w:pos="696"/>
                <w:tab w:val="left" w:pos="879"/>
              </w:tabs>
              <w:spacing w:line="256" w:lineRule="auto"/>
              <w:ind w:left="69"/>
              <w:jc w:val="center"/>
            </w:pPr>
            <w:r>
              <w:rPr>
                <w:b/>
                <w:bCs/>
              </w:rPr>
              <w:t>Source of Funds</w:t>
            </w:r>
            <w:r>
              <w:t>:</w:t>
            </w:r>
          </w:p>
        </w:tc>
        <w:tc>
          <w:tcPr>
            <w:tcW w:w="7020" w:type="dxa"/>
          </w:tcPr>
          <w:p w:rsidR="00064751" w:rsidRDefault="00064751">
            <w:pPr>
              <w:spacing w:line="256" w:lineRule="auto"/>
            </w:pPr>
            <w:r>
              <w:t>Small Cities Community Development Block Grant (CDBG) Program, U.S. Department of Housing and Urban Development</w:t>
            </w:r>
          </w:p>
          <w:p w:rsidR="00064751" w:rsidRDefault="00064751">
            <w:pPr>
              <w:spacing w:line="256" w:lineRule="auto"/>
            </w:pPr>
          </w:p>
        </w:tc>
      </w:tr>
      <w:tr w:rsidR="00064751" w:rsidTr="00064751">
        <w:tc>
          <w:tcPr>
            <w:tcW w:w="2988" w:type="dxa"/>
            <w:hideMark/>
          </w:tcPr>
          <w:p w:rsidR="00064751" w:rsidRDefault="00064751" w:rsidP="00064751">
            <w:pPr>
              <w:spacing w:line="256" w:lineRule="auto"/>
            </w:pPr>
            <w:r>
              <w:rPr>
                <w:b/>
                <w:bCs/>
              </w:rPr>
              <w:t xml:space="preserve">        Funding Level</w:t>
            </w:r>
            <w:r>
              <w:t>:</w:t>
            </w:r>
          </w:p>
        </w:tc>
        <w:tc>
          <w:tcPr>
            <w:tcW w:w="7020" w:type="dxa"/>
            <w:hideMark/>
          </w:tcPr>
          <w:p w:rsidR="00064751" w:rsidRDefault="00064751">
            <w:pPr>
              <w:spacing w:line="256" w:lineRule="auto"/>
            </w:pPr>
            <w:r>
              <w:t>Maximum $</w:t>
            </w:r>
            <w:r w:rsidR="00D37B06">
              <w:t>750</w:t>
            </w:r>
            <w:r>
              <w:t>,000</w:t>
            </w:r>
            <w:r w:rsidR="002F1EC8">
              <w:t xml:space="preserve"> award</w:t>
            </w:r>
          </w:p>
        </w:tc>
      </w:tr>
      <w:tr w:rsidR="00064751" w:rsidTr="00064751">
        <w:tc>
          <w:tcPr>
            <w:tcW w:w="2988" w:type="dxa"/>
          </w:tcPr>
          <w:p w:rsidR="00064751" w:rsidRDefault="00064751">
            <w:pPr>
              <w:spacing w:line="256" w:lineRule="auto"/>
              <w:jc w:val="right"/>
            </w:pPr>
          </w:p>
        </w:tc>
        <w:tc>
          <w:tcPr>
            <w:tcW w:w="7020" w:type="dxa"/>
          </w:tcPr>
          <w:p w:rsidR="00064751" w:rsidRDefault="00064751">
            <w:pPr>
              <w:spacing w:line="256" w:lineRule="auto"/>
            </w:pPr>
          </w:p>
        </w:tc>
      </w:tr>
      <w:tr w:rsidR="00064751" w:rsidTr="00064751">
        <w:tc>
          <w:tcPr>
            <w:tcW w:w="2988" w:type="dxa"/>
            <w:hideMark/>
          </w:tcPr>
          <w:p w:rsidR="00064751" w:rsidRDefault="00064751" w:rsidP="00064751">
            <w:pPr>
              <w:spacing w:line="256" w:lineRule="auto"/>
            </w:pPr>
            <w:r>
              <w:rPr>
                <w:b/>
                <w:bCs/>
              </w:rPr>
              <w:t xml:space="preserve">        Total Available</w:t>
            </w:r>
            <w:r>
              <w:t>:</w:t>
            </w:r>
          </w:p>
        </w:tc>
        <w:tc>
          <w:tcPr>
            <w:tcW w:w="7020" w:type="dxa"/>
            <w:hideMark/>
          </w:tcPr>
          <w:p w:rsidR="00064751" w:rsidRDefault="00064751">
            <w:pPr>
              <w:spacing w:line="256" w:lineRule="auto"/>
            </w:pPr>
            <w:r>
              <w:t xml:space="preserve">Total of $10,000,000 </w:t>
            </w:r>
          </w:p>
        </w:tc>
      </w:tr>
      <w:tr w:rsidR="00064751" w:rsidTr="00064751">
        <w:tc>
          <w:tcPr>
            <w:tcW w:w="2988" w:type="dxa"/>
          </w:tcPr>
          <w:p w:rsidR="00064751" w:rsidRDefault="00064751">
            <w:pPr>
              <w:spacing w:line="256" w:lineRule="auto"/>
              <w:jc w:val="right"/>
            </w:pPr>
          </w:p>
        </w:tc>
        <w:tc>
          <w:tcPr>
            <w:tcW w:w="7020" w:type="dxa"/>
          </w:tcPr>
          <w:p w:rsidR="00064751" w:rsidRDefault="00064751">
            <w:pPr>
              <w:spacing w:line="256" w:lineRule="auto"/>
            </w:pPr>
          </w:p>
        </w:tc>
      </w:tr>
      <w:tr w:rsidR="00064751" w:rsidTr="00064751">
        <w:tc>
          <w:tcPr>
            <w:tcW w:w="2988" w:type="dxa"/>
            <w:hideMark/>
          </w:tcPr>
          <w:p w:rsidR="00064751" w:rsidRDefault="00064751" w:rsidP="00064751">
            <w:pPr>
              <w:spacing w:line="256" w:lineRule="auto"/>
            </w:pPr>
            <w:r>
              <w:rPr>
                <w:b/>
                <w:bCs/>
              </w:rPr>
              <w:t xml:space="preserve">        Funding Cycle</w:t>
            </w:r>
            <w:r>
              <w:t>:</w:t>
            </w:r>
          </w:p>
        </w:tc>
        <w:tc>
          <w:tcPr>
            <w:tcW w:w="7020" w:type="dxa"/>
          </w:tcPr>
          <w:p w:rsidR="00064751" w:rsidRDefault="00064751">
            <w:pPr>
              <w:spacing w:line="256" w:lineRule="auto"/>
            </w:pPr>
            <w:r>
              <w:t xml:space="preserve">Application </w:t>
            </w:r>
            <w:r w:rsidR="009D4009">
              <w:t xml:space="preserve">intake will begin on </w:t>
            </w:r>
            <w:r w:rsidR="00ED051F">
              <w:t xml:space="preserve">Friday, </w:t>
            </w:r>
            <w:r w:rsidR="00A630CE">
              <w:t xml:space="preserve">April </w:t>
            </w:r>
            <w:r w:rsidR="00CD3594">
              <w:t>1</w:t>
            </w:r>
            <w:r w:rsidR="003A4FF9">
              <w:t>3</w:t>
            </w:r>
            <w:r>
              <w:t>, 201</w:t>
            </w:r>
            <w:r w:rsidR="00A630CE">
              <w:t>8</w:t>
            </w:r>
            <w:r>
              <w:t xml:space="preserve"> a</w:t>
            </w:r>
            <w:r w:rsidR="005E1EF7">
              <w:t xml:space="preserve">nd close on </w:t>
            </w:r>
            <w:r w:rsidR="00ED051F" w:rsidRPr="00ED051F">
              <w:t>Frid</w:t>
            </w:r>
            <w:r w:rsidR="005E1EF7" w:rsidRPr="00ED051F">
              <w:t xml:space="preserve">ay, </w:t>
            </w:r>
            <w:r w:rsidR="00A630CE">
              <w:t>July 2</w:t>
            </w:r>
            <w:r w:rsidR="00F45324">
              <w:t>7</w:t>
            </w:r>
            <w:r>
              <w:t>, 2018</w:t>
            </w:r>
            <w:r w:rsidR="003778EA">
              <w:t xml:space="preserve"> at 5:00 PM</w:t>
            </w:r>
            <w:r>
              <w:t xml:space="preserve">.  </w:t>
            </w:r>
            <w:r w:rsidR="002F1EC8">
              <w:t>For applications, please contact</w:t>
            </w:r>
            <w:r w:rsidR="00A630CE">
              <w:t xml:space="preserve"> </w:t>
            </w:r>
            <w:hyperlink r:id="rId7" w:history="1">
              <w:r w:rsidR="00A630CE" w:rsidRPr="00460624">
                <w:rPr>
                  <w:rStyle w:val="Hyperlink"/>
                </w:rPr>
                <w:t>detra.purcell@nccommerce.com</w:t>
              </w:r>
            </w:hyperlink>
            <w:r w:rsidR="002F1EC8">
              <w:t>.</w:t>
            </w:r>
            <w:r w:rsidR="00A630CE">
              <w:t xml:space="preserve"> </w:t>
            </w:r>
          </w:p>
          <w:p w:rsidR="002F1EC8" w:rsidRDefault="002F1EC8">
            <w:pPr>
              <w:spacing w:line="256" w:lineRule="auto"/>
            </w:pPr>
          </w:p>
          <w:p w:rsidR="00064751" w:rsidRDefault="00064751">
            <w:pPr>
              <w:spacing w:line="256" w:lineRule="auto"/>
            </w:pPr>
          </w:p>
        </w:tc>
      </w:tr>
      <w:tr w:rsidR="00064751" w:rsidTr="00064751">
        <w:tc>
          <w:tcPr>
            <w:tcW w:w="2988" w:type="dxa"/>
            <w:hideMark/>
          </w:tcPr>
          <w:p w:rsidR="00064751" w:rsidRDefault="00064751" w:rsidP="00064751">
            <w:pPr>
              <w:spacing w:line="256" w:lineRule="auto"/>
              <w:rPr>
                <w:b/>
                <w:bCs/>
              </w:rPr>
            </w:pPr>
            <w:r>
              <w:rPr>
                <w:b/>
                <w:bCs/>
              </w:rPr>
              <w:t xml:space="preserve">        For Additional </w:t>
            </w:r>
          </w:p>
          <w:p w:rsidR="00064751" w:rsidRDefault="00064751" w:rsidP="00064751">
            <w:pPr>
              <w:spacing w:line="256" w:lineRule="auto"/>
            </w:pPr>
            <w:r>
              <w:rPr>
                <w:b/>
                <w:bCs/>
              </w:rPr>
              <w:t xml:space="preserve">        Information</w:t>
            </w:r>
            <w:r>
              <w:t>:</w:t>
            </w:r>
          </w:p>
        </w:tc>
        <w:tc>
          <w:tcPr>
            <w:tcW w:w="7020" w:type="dxa"/>
            <w:hideMark/>
          </w:tcPr>
          <w:p w:rsidR="00064751" w:rsidRDefault="00A630CE" w:rsidP="00A630CE">
            <w:pPr>
              <w:spacing w:line="256" w:lineRule="auto"/>
            </w:pPr>
            <w:r>
              <w:t>Contact Detra Purcell</w:t>
            </w:r>
            <w:r w:rsidR="00064751">
              <w:t xml:space="preserve"> at (919) 814-4</w:t>
            </w:r>
            <w:r>
              <w:t>754</w:t>
            </w:r>
            <w:r w:rsidR="00064751">
              <w:t xml:space="preserve"> or (TDD 1-800-735-2962).</w:t>
            </w:r>
          </w:p>
        </w:tc>
      </w:tr>
    </w:tbl>
    <w:p w:rsidR="00202C07" w:rsidRDefault="00202C07" w:rsidP="008E03AF">
      <w:pPr>
        <w:autoSpaceDE w:val="0"/>
        <w:autoSpaceDN w:val="0"/>
        <w:adjustRightInd w:val="0"/>
        <w:spacing w:after="240"/>
        <w:rPr>
          <w:rFonts w:cs="Arial"/>
          <w:sz w:val="20"/>
          <w:szCs w:val="20"/>
        </w:rPr>
      </w:pPr>
    </w:p>
    <w:sectPr w:rsidR="00202C07" w:rsidSect="001A43A6">
      <w:headerReference w:type="default" r:id="rId8"/>
      <w:footerReference w:type="default" r:id="rId9"/>
      <w:headerReference w:type="first" r:id="rId10"/>
      <w:pgSz w:w="12240" w:h="15840"/>
      <w:pgMar w:top="1080" w:right="1440" w:bottom="1440" w:left="1440"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3F6" w:rsidRDefault="004613F6">
      <w:r>
        <w:separator/>
      </w:r>
    </w:p>
  </w:endnote>
  <w:endnote w:type="continuationSeparator" w:id="0">
    <w:p w:rsidR="004613F6" w:rsidRDefault="00461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4EC" w:rsidRPr="0098035F" w:rsidRDefault="00561183" w:rsidP="0098035F">
    <w:pPr>
      <w:pStyle w:val="Footer"/>
      <w:tabs>
        <w:tab w:val="clear" w:pos="8640"/>
        <w:tab w:val="right" w:pos="10440"/>
      </w:tabs>
      <w:ind w:left="-1800"/>
    </w:pPr>
    <w:r>
      <w:rPr>
        <w:noProof/>
        <w:lang w:eastAsia="en-US"/>
      </w:rPr>
      <w:drawing>
        <wp:anchor distT="0" distB="0" distL="114300" distR="114300" simplePos="0" relativeHeight="251657728" behindDoc="1" locked="0" layoutInCell="1" allowOverlap="0" wp14:anchorId="7A81E2A4" wp14:editId="562948A6">
          <wp:simplePos x="0" y="0"/>
          <wp:positionH relativeFrom="page">
            <wp:posOffset>0</wp:posOffset>
          </wp:positionH>
          <wp:positionV relativeFrom="page">
            <wp:posOffset>8999220</wp:posOffset>
          </wp:positionV>
          <wp:extent cx="7772400" cy="1059180"/>
          <wp:effectExtent l="0" t="0" r="0" b="762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orts-1375-02 CltSportsFound_ltrhd w board.jpg"/>
                  <pic:cNvPicPr preferRelativeResize="0"/>
                </pic:nvPicPr>
                <pic:blipFill rotWithShape="1">
                  <a:blip r:embed="rId1"/>
                  <a:srcRect t="89470"/>
                  <a:stretch/>
                </pic:blipFill>
                <pic:spPr bwMode="auto">
                  <a:xfrm>
                    <a:off x="0" y="0"/>
                    <a:ext cx="7772400" cy="10591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3F6" w:rsidRDefault="004613F6">
      <w:r>
        <w:separator/>
      </w:r>
    </w:p>
  </w:footnote>
  <w:footnote w:type="continuationSeparator" w:id="0">
    <w:p w:rsidR="004613F6" w:rsidRDefault="00461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4EC" w:rsidRDefault="00C164EC" w:rsidP="0098035F">
    <w:pPr>
      <w:pStyle w:val="Header"/>
      <w:tabs>
        <w:tab w:val="clear" w:pos="8640"/>
        <w:tab w:val="right" w:pos="10440"/>
      </w:tabs>
      <w:ind w:left="-18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C07" w:rsidRDefault="00202C07">
    <w:pPr>
      <w:pStyle w:val="Header"/>
    </w:pPr>
    <w:r>
      <w:rPr>
        <w:noProof/>
        <w:lang w:eastAsia="en-US"/>
      </w:rPr>
      <w:drawing>
        <wp:anchor distT="0" distB="0" distL="114300" distR="114300" simplePos="0" relativeHeight="251658752" behindDoc="1" locked="0" layoutInCell="1" allowOverlap="0" wp14:anchorId="6BA80DB5" wp14:editId="1FA5FED7">
          <wp:simplePos x="0" y="0"/>
          <wp:positionH relativeFrom="page">
            <wp:align>right</wp:align>
          </wp:positionH>
          <wp:positionV relativeFrom="page">
            <wp:align>top</wp:align>
          </wp:positionV>
          <wp:extent cx="7770038" cy="10055344"/>
          <wp:effectExtent l="0" t="0" r="2540"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orts-1375-02 CltSportsFound_ltrhd w board.jpg"/>
                  <pic:cNvPicPr/>
                </pic:nvPicPr>
                <pic:blipFill>
                  <a:blip r:embed="rId1"/>
                  <a:stretch>
                    <a:fillRect/>
                  </a:stretch>
                </pic:blipFill>
                <pic:spPr>
                  <a:xfrm>
                    <a:off x="0" y="0"/>
                    <a:ext cx="7770038" cy="10055344"/>
                  </a:xfrm>
                  <a:prstGeom prst="rect">
                    <a:avLst/>
                  </a:prstGeom>
                </pic:spPr>
              </pic:pic>
            </a:graphicData>
          </a:graphic>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751"/>
    <w:rsid w:val="00006FF7"/>
    <w:rsid w:val="00064751"/>
    <w:rsid w:val="000A07DB"/>
    <w:rsid w:val="001005D6"/>
    <w:rsid w:val="00143B70"/>
    <w:rsid w:val="0018280F"/>
    <w:rsid w:val="001A43A6"/>
    <w:rsid w:val="001C4F19"/>
    <w:rsid w:val="00202C07"/>
    <w:rsid w:val="002437F0"/>
    <w:rsid w:val="002A447E"/>
    <w:rsid w:val="002D391A"/>
    <w:rsid w:val="002F1EC8"/>
    <w:rsid w:val="003778EA"/>
    <w:rsid w:val="00383436"/>
    <w:rsid w:val="003A4FF9"/>
    <w:rsid w:val="003B74AF"/>
    <w:rsid w:val="003C4B29"/>
    <w:rsid w:val="004104A7"/>
    <w:rsid w:val="004613F6"/>
    <w:rsid w:val="00470FB5"/>
    <w:rsid w:val="00561183"/>
    <w:rsid w:val="0059676B"/>
    <w:rsid w:val="005A1C7D"/>
    <w:rsid w:val="005A62DF"/>
    <w:rsid w:val="005B3749"/>
    <w:rsid w:val="005D5F75"/>
    <w:rsid w:val="005E1EF7"/>
    <w:rsid w:val="00723B00"/>
    <w:rsid w:val="007C0599"/>
    <w:rsid w:val="007E1844"/>
    <w:rsid w:val="00845D3E"/>
    <w:rsid w:val="00857005"/>
    <w:rsid w:val="008B5DFD"/>
    <w:rsid w:val="008D0BFD"/>
    <w:rsid w:val="008E03AF"/>
    <w:rsid w:val="008E7076"/>
    <w:rsid w:val="00903B1F"/>
    <w:rsid w:val="009456F4"/>
    <w:rsid w:val="0098035F"/>
    <w:rsid w:val="009D4009"/>
    <w:rsid w:val="00A10638"/>
    <w:rsid w:val="00A4719B"/>
    <w:rsid w:val="00A630CE"/>
    <w:rsid w:val="00A8663D"/>
    <w:rsid w:val="00AA5F59"/>
    <w:rsid w:val="00AD7B07"/>
    <w:rsid w:val="00B17803"/>
    <w:rsid w:val="00B37D56"/>
    <w:rsid w:val="00BB254E"/>
    <w:rsid w:val="00BD711A"/>
    <w:rsid w:val="00BE6D2D"/>
    <w:rsid w:val="00C14F9F"/>
    <w:rsid w:val="00C164EC"/>
    <w:rsid w:val="00C413C1"/>
    <w:rsid w:val="00C96F4A"/>
    <w:rsid w:val="00CD3594"/>
    <w:rsid w:val="00D223C5"/>
    <w:rsid w:val="00D357B1"/>
    <w:rsid w:val="00D37B06"/>
    <w:rsid w:val="00DB1140"/>
    <w:rsid w:val="00DE6A55"/>
    <w:rsid w:val="00E24E2F"/>
    <w:rsid w:val="00ED051F"/>
    <w:rsid w:val="00ED6F14"/>
    <w:rsid w:val="00F45324"/>
    <w:rsid w:val="00F70376"/>
    <w:rsid w:val="00FA0B0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C1F41BA8-D468-4A75-A61B-7C7E4538C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4751"/>
    <w:rPr>
      <w:rFonts w:ascii="Times New Roman" w:eastAsia="Times New Roman" w:hAnsi="Times New Roman" w:cs="Times New Roman"/>
      <w:lang w:eastAsia="en-US"/>
    </w:rPr>
  </w:style>
  <w:style w:type="paragraph" w:styleId="Heading1">
    <w:name w:val="heading 1"/>
    <w:basedOn w:val="Normal"/>
    <w:next w:val="Normal"/>
    <w:link w:val="Heading1Char"/>
    <w:qFormat/>
    <w:rsid w:val="00064751"/>
    <w:pPr>
      <w:keepNext/>
      <w:outlineLvl w:val="0"/>
    </w:pPr>
    <w:rPr>
      <w:sz w:val="36"/>
    </w:rPr>
  </w:style>
  <w:style w:type="paragraph" w:styleId="Heading2">
    <w:name w:val="heading 2"/>
    <w:basedOn w:val="Normal"/>
    <w:next w:val="Normal"/>
    <w:link w:val="Heading2Char"/>
    <w:semiHidden/>
    <w:unhideWhenUsed/>
    <w:qFormat/>
    <w:rsid w:val="00064751"/>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035F"/>
    <w:pPr>
      <w:tabs>
        <w:tab w:val="center" w:pos="4320"/>
        <w:tab w:val="right" w:pos="8640"/>
      </w:tabs>
    </w:pPr>
    <w:rPr>
      <w:rFonts w:asciiTheme="minorHAnsi" w:eastAsiaTheme="minorEastAsia" w:hAnsiTheme="minorHAnsi" w:cstheme="minorBidi"/>
      <w:lang w:eastAsia="ja-JP"/>
    </w:rPr>
  </w:style>
  <w:style w:type="character" w:customStyle="1" w:styleId="HeaderChar">
    <w:name w:val="Header Char"/>
    <w:basedOn w:val="DefaultParagraphFont"/>
    <w:link w:val="Header"/>
    <w:uiPriority w:val="99"/>
    <w:rsid w:val="0098035F"/>
  </w:style>
  <w:style w:type="paragraph" w:styleId="Footer">
    <w:name w:val="footer"/>
    <w:basedOn w:val="Normal"/>
    <w:link w:val="FooterChar"/>
    <w:uiPriority w:val="99"/>
    <w:unhideWhenUsed/>
    <w:rsid w:val="0098035F"/>
    <w:pPr>
      <w:tabs>
        <w:tab w:val="center" w:pos="4320"/>
        <w:tab w:val="right" w:pos="8640"/>
      </w:tabs>
    </w:pPr>
    <w:rPr>
      <w:rFonts w:asciiTheme="minorHAnsi" w:eastAsiaTheme="minorEastAsia" w:hAnsiTheme="minorHAnsi" w:cstheme="minorBidi"/>
      <w:lang w:eastAsia="ja-JP"/>
    </w:rPr>
  </w:style>
  <w:style w:type="character" w:customStyle="1" w:styleId="FooterChar">
    <w:name w:val="Footer Char"/>
    <w:basedOn w:val="DefaultParagraphFont"/>
    <w:link w:val="Footer"/>
    <w:uiPriority w:val="99"/>
    <w:rsid w:val="0098035F"/>
  </w:style>
  <w:style w:type="paragraph" w:styleId="BalloonText">
    <w:name w:val="Balloon Text"/>
    <w:basedOn w:val="Normal"/>
    <w:link w:val="BalloonTextChar"/>
    <w:uiPriority w:val="99"/>
    <w:semiHidden/>
    <w:unhideWhenUsed/>
    <w:rsid w:val="00470F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FB5"/>
    <w:rPr>
      <w:rFonts w:ascii="Segoe UI" w:hAnsi="Segoe UI" w:cs="Segoe UI"/>
      <w:sz w:val="18"/>
      <w:szCs w:val="18"/>
    </w:rPr>
  </w:style>
  <w:style w:type="character" w:customStyle="1" w:styleId="Heading1Char">
    <w:name w:val="Heading 1 Char"/>
    <w:basedOn w:val="DefaultParagraphFont"/>
    <w:link w:val="Heading1"/>
    <w:rsid w:val="00064751"/>
    <w:rPr>
      <w:rFonts w:ascii="Times New Roman" w:eastAsia="Times New Roman" w:hAnsi="Times New Roman" w:cs="Times New Roman"/>
      <w:sz w:val="36"/>
      <w:lang w:eastAsia="en-US"/>
    </w:rPr>
  </w:style>
  <w:style w:type="character" w:customStyle="1" w:styleId="Heading2Char">
    <w:name w:val="Heading 2 Char"/>
    <w:basedOn w:val="DefaultParagraphFont"/>
    <w:link w:val="Heading2"/>
    <w:semiHidden/>
    <w:rsid w:val="00064751"/>
    <w:rPr>
      <w:rFonts w:ascii="Times New Roman" w:eastAsia="Times New Roman" w:hAnsi="Times New Roman" w:cs="Times New Roman"/>
      <w:sz w:val="28"/>
      <w:lang w:eastAsia="en-US"/>
    </w:rPr>
  </w:style>
  <w:style w:type="character" w:styleId="Hyperlink">
    <w:name w:val="Hyperlink"/>
    <w:basedOn w:val="DefaultParagraphFont"/>
    <w:uiPriority w:val="99"/>
    <w:unhideWhenUsed/>
    <w:rsid w:val="002F1EC8"/>
    <w:rPr>
      <w:color w:val="0000FF" w:themeColor="hyperlink"/>
      <w:u w:val="single"/>
    </w:rPr>
  </w:style>
  <w:style w:type="character" w:customStyle="1" w:styleId="UnresolvedMention1">
    <w:name w:val="Unresolved Mention1"/>
    <w:basedOn w:val="DefaultParagraphFont"/>
    <w:uiPriority w:val="99"/>
    <w:semiHidden/>
    <w:unhideWhenUsed/>
    <w:rsid w:val="002F1EC8"/>
    <w:rPr>
      <w:color w:val="808080"/>
      <w:shd w:val="clear" w:color="auto" w:fill="E6E6E6"/>
    </w:rPr>
  </w:style>
  <w:style w:type="character" w:styleId="UnresolvedMention">
    <w:name w:val="Unresolved Mention"/>
    <w:basedOn w:val="DefaultParagraphFont"/>
    <w:uiPriority w:val="99"/>
    <w:semiHidden/>
    <w:unhideWhenUsed/>
    <w:rsid w:val="00A630C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4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etra.purcell@nccommerc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limehouse\Desktop\Changed%20New%20Letterhead\Rural-ltrhd-General_black_August2017-revi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E87F4-CEE2-4461-B407-02BA39FE3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Rural-ltrhd-General_black_August2017-revision.dotx</Template>
  <TotalTime>0</TotalTime>
  <Pages>2</Pages>
  <Words>337</Words>
  <Characters>1924</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LGA</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Williams, Angela L</cp:lastModifiedBy>
  <cp:revision>2</cp:revision>
  <cp:lastPrinted>2017-11-27T13:13:00Z</cp:lastPrinted>
  <dcterms:created xsi:type="dcterms:W3CDTF">2018-05-09T18:01:00Z</dcterms:created>
  <dcterms:modified xsi:type="dcterms:W3CDTF">2018-05-09T18:01:00Z</dcterms:modified>
</cp:coreProperties>
</file>