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1B9F02E7"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BC4FAE" w:rsidRPr="00BC4FAE">
        <w:rPr>
          <w:rFonts w:ascii="Times New Roman" w:hAnsi="Times New Roman" w:cs="Times New Roman"/>
          <w:b/>
          <w:bCs/>
          <w:sz w:val="28"/>
          <w:szCs w:val="28"/>
        </w:rPr>
        <w:t>North Carolina</w:t>
      </w:r>
      <w:r w:rsidR="00BC4FAE">
        <w:rPr>
          <w:rFonts w:ascii="Times New Roman" w:hAnsi="Times New Roman" w:cs="Times New Roman"/>
          <w:sz w:val="36"/>
          <w:szCs w:val="36"/>
        </w:rPr>
        <w:t xml:space="preserve"> </w:t>
      </w:r>
      <w:r w:rsidR="00BC4FAE">
        <w:rPr>
          <w:rFonts w:ascii="Times New Roman" w:hAnsi="Times New Roman" w:cs="Times New Roman"/>
          <w:b/>
          <w:bCs/>
          <w:sz w:val="28"/>
          <w:szCs w:val="28"/>
        </w:rPr>
        <w:t xml:space="preserve">Division of Workforce Solutions </w:t>
      </w:r>
      <w:r w:rsidR="005310FE">
        <w:rPr>
          <w:rFonts w:ascii="Times New Roman" w:hAnsi="Times New Roman" w:cs="Times New Roman"/>
          <w:b/>
          <w:bCs/>
          <w:sz w:val="28"/>
          <w:szCs w:val="28"/>
        </w:rPr>
        <w:tab/>
      </w:r>
      <w:r w:rsidR="005310FE">
        <w:rPr>
          <w:rFonts w:ascii="Times New Roman" w:hAnsi="Times New Roman" w:cs="Times New Roman"/>
          <w:b/>
          <w:bCs/>
          <w:sz w:val="28"/>
          <w:szCs w:val="28"/>
        </w:rPr>
        <w:tab/>
      </w:r>
      <w:r w:rsidR="00BC4FAE">
        <w:rPr>
          <w:rFonts w:ascii="Times New Roman" w:hAnsi="Times New Roman" w:cs="Times New Roman"/>
          <w:b/>
          <w:bCs/>
          <w:sz w:val="28"/>
          <w:szCs w:val="28"/>
        </w:rPr>
        <w:t>Operational Guidance Nu</w:t>
      </w:r>
      <w:r w:rsidR="006662FB" w:rsidRPr="003D62B7">
        <w:rPr>
          <w:rFonts w:ascii="Times New Roman" w:hAnsi="Times New Roman" w:cs="Times New Roman"/>
          <w:b/>
          <w:bCs/>
          <w:sz w:val="28"/>
          <w:szCs w:val="28"/>
        </w:rPr>
        <w:t xml:space="preserve">mber: </w:t>
      </w:r>
      <w:r w:rsidR="00BC4FAE">
        <w:rPr>
          <w:rFonts w:ascii="Times New Roman" w:hAnsi="Times New Roman" w:cs="Times New Roman"/>
          <w:b/>
          <w:bCs/>
          <w:sz w:val="28"/>
          <w:szCs w:val="28"/>
        </w:rPr>
        <w:t xml:space="preserve">OG </w:t>
      </w:r>
      <w:r w:rsidR="005310FE">
        <w:rPr>
          <w:rFonts w:ascii="Times New Roman" w:hAnsi="Times New Roman" w:cs="Times New Roman"/>
          <w:b/>
          <w:bCs/>
          <w:sz w:val="28"/>
          <w:szCs w:val="28"/>
        </w:rPr>
        <w:t>07-2025, Change 1</w:t>
      </w:r>
    </w:p>
    <w:p w14:paraId="41FBEDB1" w14:textId="77777777" w:rsidR="007726AA" w:rsidRDefault="007726AA" w:rsidP="006662FB">
      <w:pPr>
        <w:rPr>
          <w:rFonts w:ascii="Times New Roman" w:hAnsi="Times New Roman" w:cs="Times New Roman"/>
          <w:b/>
          <w:bCs/>
        </w:rPr>
      </w:pPr>
    </w:p>
    <w:p w14:paraId="5733E6D4" w14:textId="3F54203E"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5310FE">
        <w:rPr>
          <w:rFonts w:ascii="Times New Roman" w:hAnsi="Times New Roman" w:cs="Times New Roman"/>
        </w:rPr>
        <w:t>June 1, 2026</w:t>
      </w:r>
    </w:p>
    <w:p w14:paraId="7D2B26EF" w14:textId="1E382A37" w:rsidR="006662FB" w:rsidRPr="005310FE" w:rsidRDefault="006662FB" w:rsidP="006662FB">
      <w:pPr>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5310FE" w:rsidRPr="005310FE">
        <w:rPr>
          <w:rFonts w:ascii="Times New Roman" w:hAnsi="Times New Roman" w:cs="Times New Roman"/>
        </w:rPr>
        <w:t>Work-based Learning Comprehensive Guidance</w:t>
      </w:r>
    </w:p>
    <w:p w14:paraId="2523643D" w14:textId="7E25967A"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xml:space="preserve">: </w:t>
      </w:r>
      <w:r w:rsidR="00BC4FAE">
        <w:rPr>
          <w:rFonts w:ascii="Times New Roman" w:hAnsi="Times New Roman" w:cs="Times New Roman"/>
        </w:rPr>
        <w:t>Andrea L</w:t>
      </w:r>
      <w:r w:rsidR="00496A34">
        <w:rPr>
          <w:rFonts w:ascii="Times New Roman" w:hAnsi="Times New Roman" w:cs="Times New Roman"/>
        </w:rPr>
        <w:t>.</w:t>
      </w:r>
      <w:r w:rsidR="00BC4FAE">
        <w:rPr>
          <w:rFonts w:ascii="Times New Roman" w:hAnsi="Times New Roman" w:cs="Times New Roman"/>
        </w:rPr>
        <w:t xml:space="preserve"> DeSantis, Assistant Secretary for Workforce</w:t>
      </w:r>
    </w:p>
    <w:p w14:paraId="62D3FA90" w14:textId="77777777"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Purpose:</w:t>
      </w:r>
      <w:r w:rsidRPr="00BC4FAE">
        <w:rPr>
          <w:rFonts w:ascii="Times New Roman" w:hAnsi="Times New Roman" w:cs="Times New Roman"/>
          <w:b/>
          <w:bCs/>
          <w:color w:val="000000" w:themeColor="text1"/>
          <w:sz w:val="24"/>
          <w:szCs w:val="24"/>
        </w:rPr>
        <w:tab/>
      </w:r>
    </w:p>
    <w:p w14:paraId="3A7F6D28" w14:textId="77777777" w:rsidR="005310FE" w:rsidRDefault="005310FE" w:rsidP="005310FE">
      <w:pPr>
        <w:rPr>
          <w:rFonts w:ascii="Times New Roman" w:hAnsi="Times New Roman"/>
        </w:rPr>
      </w:pPr>
      <w:r w:rsidRPr="00D10251">
        <w:rPr>
          <w:rFonts w:ascii="Times New Roman" w:hAnsi="Times New Roman"/>
        </w:rPr>
        <w:t xml:space="preserve">This guidance establishes consistent guidelines and procedures for North Carolina's </w:t>
      </w:r>
      <w:r>
        <w:rPr>
          <w:rFonts w:ascii="Times New Roman" w:hAnsi="Times New Roman"/>
        </w:rPr>
        <w:t>L</w:t>
      </w:r>
      <w:r w:rsidRPr="00D10251">
        <w:rPr>
          <w:rFonts w:ascii="Times New Roman" w:hAnsi="Times New Roman"/>
        </w:rPr>
        <w:t xml:space="preserve">ocal </w:t>
      </w:r>
      <w:r>
        <w:rPr>
          <w:rFonts w:ascii="Times New Roman" w:hAnsi="Times New Roman"/>
        </w:rPr>
        <w:t>Area W</w:t>
      </w:r>
      <w:r w:rsidRPr="00D10251">
        <w:rPr>
          <w:rFonts w:ascii="Times New Roman" w:hAnsi="Times New Roman"/>
        </w:rPr>
        <w:t xml:space="preserve">orkforce </w:t>
      </w:r>
      <w:r>
        <w:rPr>
          <w:rFonts w:ascii="Times New Roman" w:hAnsi="Times New Roman"/>
        </w:rPr>
        <w:t>D</w:t>
      </w:r>
      <w:r w:rsidRPr="00D10251">
        <w:rPr>
          <w:rFonts w:ascii="Times New Roman" w:hAnsi="Times New Roman"/>
        </w:rPr>
        <w:t xml:space="preserve">evelopment </w:t>
      </w:r>
      <w:r>
        <w:rPr>
          <w:rFonts w:ascii="Times New Roman" w:hAnsi="Times New Roman"/>
        </w:rPr>
        <w:t>B</w:t>
      </w:r>
      <w:r w:rsidRPr="00D10251">
        <w:rPr>
          <w:rFonts w:ascii="Times New Roman" w:hAnsi="Times New Roman"/>
        </w:rPr>
        <w:t xml:space="preserve">oards (WDBs) to implement, manage, and sustain work-based learning (WBL) and training opportunities.  This guidance aligns the types of WBL efforts identified by </w:t>
      </w:r>
      <w:r>
        <w:rPr>
          <w:rFonts w:ascii="Times New Roman" w:hAnsi="Times New Roman"/>
        </w:rPr>
        <w:t>the U.S. Department of Labor (</w:t>
      </w:r>
      <w:r w:rsidRPr="00D10251">
        <w:rPr>
          <w:rFonts w:ascii="Times New Roman" w:hAnsi="Times New Roman"/>
        </w:rPr>
        <w:t>USDOL</w:t>
      </w:r>
      <w:r>
        <w:rPr>
          <w:rFonts w:ascii="Times New Roman" w:hAnsi="Times New Roman"/>
        </w:rPr>
        <w:t>)</w:t>
      </w:r>
      <w:r w:rsidRPr="00D10251">
        <w:rPr>
          <w:rFonts w:ascii="Times New Roman" w:hAnsi="Times New Roman"/>
        </w:rPr>
        <w:t xml:space="preserve"> into a single, comprehensive work-based learning framework.  It also enhances the collection and tracking of data related to employers participating in WBL, including the sources of funding used to support wages, wage reimbursements, and training costs.</w:t>
      </w:r>
    </w:p>
    <w:p w14:paraId="7AEF4DD0" w14:textId="77777777" w:rsidR="001A7ED0" w:rsidRDefault="005310FE" w:rsidP="005310FE">
      <w:pPr>
        <w:rPr>
          <w:rFonts w:ascii="Times New Roman" w:hAnsi="Times New Roman"/>
        </w:rPr>
      </w:pPr>
      <w:r w:rsidRPr="53447BBD">
        <w:rPr>
          <w:rFonts w:ascii="Times New Roman" w:hAnsi="Times New Roman"/>
        </w:rPr>
        <w:t xml:space="preserve">This Change </w:t>
      </w:r>
      <w:r w:rsidR="001A7ED0">
        <w:rPr>
          <w:rFonts w:ascii="Times New Roman" w:hAnsi="Times New Roman"/>
        </w:rPr>
        <w:t xml:space="preserve">includes the following updates: </w:t>
      </w:r>
    </w:p>
    <w:p w14:paraId="4C3B106E" w14:textId="77777777" w:rsidR="001A7ED0" w:rsidRDefault="005310FE" w:rsidP="001A7ED0">
      <w:pPr>
        <w:pStyle w:val="ListParagraph"/>
        <w:numPr>
          <w:ilvl w:val="0"/>
          <w:numId w:val="8"/>
        </w:numPr>
        <w:rPr>
          <w:rFonts w:ascii="Times New Roman" w:hAnsi="Times New Roman"/>
        </w:rPr>
      </w:pPr>
      <w:r w:rsidRPr="001A7ED0">
        <w:rPr>
          <w:rFonts w:ascii="Times New Roman" w:hAnsi="Times New Roman"/>
        </w:rPr>
        <w:t>eliminates the inclusion of supportive services costs in the Youth 20% percent calculations, due to updated USDOL guidance</w:t>
      </w:r>
      <w:r w:rsidR="001A7ED0" w:rsidRPr="001A7ED0">
        <w:rPr>
          <w:rFonts w:ascii="Times New Roman" w:hAnsi="Times New Roman"/>
        </w:rPr>
        <w:t xml:space="preserve">; </w:t>
      </w:r>
    </w:p>
    <w:p w14:paraId="32DDAF73" w14:textId="77777777" w:rsidR="001A7ED0" w:rsidRDefault="001A7ED0" w:rsidP="001A7ED0">
      <w:pPr>
        <w:pStyle w:val="ListParagraph"/>
        <w:numPr>
          <w:ilvl w:val="0"/>
          <w:numId w:val="8"/>
        </w:numPr>
        <w:rPr>
          <w:rFonts w:ascii="Times New Roman" w:hAnsi="Times New Roman"/>
        </w:rPr>
      </w:pPr>
      <w:r w:rsidRPr="001A7ED0">
        <w:rPr>
          <w:rFonts w:ascii="Times New Roman" w:hAnsi="Times New Roman"/>
        </w:rPr>
        <w:t xml:space="preserve">adds a best practice regarding OJT referral; and </w:t>
      </w:r>
    </w:p>
    <w:p w14:paraId="0D6CFB8A" w14:textId="10F21A0A" w:rsidR="005310FE" w:rsidRPr="001A7ED0" w:rsidRDefault="001A7ED0" w:rsidP="001A7ED0">
      <w:pPr>
        <w:pStyle w:val="ListParagraph"/>
        <w:numPr>
          <w:ilvl w:val="0"/>
          <w:numId w:val="8"/>
        </w:numPr>
        <w:rPr>
          <w:rFonts w:ascii="Times New Roman" w:hAnsi="Times New Roman"/>
        </w:rPr>
      </w:pPr>
      <w:r w:rsidRPr="001A7ED0">
        <w:rPr>
          <w:rFonts w:ascii="Times New Roman" w:hAnsi="Times New Roman"/>
        </w:rPr>
        <w:t>adds that the NC Career Launch pre-apprenticeship/apprenticeship-related expenditures may count toward the 6% requirement.</w:t>
      </w:r>
    </w:p>
    <w:p w14:paraId="32F17A70" w14:textId="2AE82235" w:rsidR="005310FE" w:rsidRPr="00D10251" w:rsidRDefault="005310FE" w:rsidP="005310FE">
      <w:pPr>
        <w:rPr>
          <w:rFonts w:ascii="Times New Roman" w:hAnsi="Times New Roman"/>
        </w:rPr>
      </w:pPr>
      <w:r w:rsidRPr="009D67F9">
        <w:rPr>
          <w:rFonts w:ascii="Times New Roman" w:eastAsia="Times New Roman" w:hAnsi="Times New Roman" w:cs="Times New Roman"/>
          <w:color w:val="221F1F"/>
        </w:rPr>
        <w:t>This Operational Guidance (OG) rescinds OG 0</w:t>
      </w:r>
      <w:r>
        <w:rPr>
          <w:rFonts w:ascii="Times New Roman" w:eastAsia="Times New Roman" w:hAnsi="Times New Roman" w:cs="Times New Roman"/>
          <w:color w:val="221F1F"/>
        </w:rPr>
        <w:t xml:space="preserve">7-2025, </w:t>
      </w:r>
      <w:r w:rsidRPr="009D67F9">
        <w:rPr>
          <w:rFonts w:ascii="Times New Roman" w:eastAsia="Times New Roman" w:hAnsi="Times New Roman" w:cs="Times New Roman"/>
          <w:color w:val="221F1F"/>
        </w:rPr>
        <w:t>and the procedures herein supersede all previous policies, procedures, and guidelines regarding</w:t>
      </w:r>
      <w:r>
        <w:rPr>
          <w:rFonts w:ascii="Times New Roman" w:eastAsia="Times New Roman" w:hAnsi="Times New Roman" w:cs="Times New Roman"/>
          <w:color w:val="221F1F"/>
        </w:rPr>
        <w:t xml:space="preserve"> work-based learning comprehensive guidance</w:t>
      </w:r>
      <w:r w:rsidRPr="009D67F9">
        <w:rPr>
          <w:rFonts w:ascii="Times New Roman" w:eastAsia="Times New Roman" w:hAnsi="Times New Roman" w:cs="Times New Roman"/>
          <w:color w:val="221F1F"/>
        </w:rPr>
        <w:t>.</w:t>
      </w:r>
    </w:p>
    <w:p w14:paraId="3E17FB4A" w14:textId="4F1F259B"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Background:</w:t>
      </w:r>
      <w:r w:rsidRPr="00BC4FAE">
        <w:rPr>
          <w:rFonts w:ascii="Times New Roman" w:hAnsi="Times New Roman" w:cs="Times New Roman"/>
          <w:b/>
          <w:bCs/>
          <w:color w:val="000000" w:themeColor="text1"/>
          <w:sz w:val="24"/>
          <w:szCs w:val="24"/>
        </w:rPr>
        <w:tab/>
      </w:r>
    </w:p>
    <w:p w14:paraId="63820610" w14:textId="77777777" w:rsidR="005310FE" w:rsidRDefault="005310FE" w:rsidP="005310FE">
      <w:pPr>
        <w:rPr>
          <w:rFonts w:ascii="Times New Roman" w:hAnsi="Times New Roman" w:cs="Times New Roman"/>
        </w:rPr>
      </w:pPr>
      <w:r w:rsidRPr="5FFAD990">
        <w:rPr>
          <w:rFonts w:ascii="Times New Roman" w:hAnsi="Times New Roman" w:cs="Times New Roman"/>
        </w:rPr>
        <w:t>Work-Based Learning (WBL) is a foundational strategy in North Carolina’s workforce system, designed to bridge the gap between education and employment by allowing individuals to gain hands-on experience while developing in-demand skills. These opportunities benefit employers by connecting them with a trained, work-ready talent pipeline that reflects the needs of industry.</w:t>
      </w:r>
    </w:p>
    <w:p w14:paraId="31C474A1" w14:textId="77C29CA3" w:rsidR="005310FE" w:rsidRDefault="008F758C" w:rsidP="005310FE">
      <w:pPr>
        <w:rPr>
          <w:rFonts w:ascii="Times New Roman" w:hAnsi="Times New Roman" w:cs="Times New Roman"/>
        </w:rPr>
      </w:pPr>
      <w:r w:rsidRPr="5FFAD990">
        <w:rPr>
          <w:rFonts w:ascii="Times New Roman" w:hAnsi="Times New Roman" w:cs="Times New Roman"/>
        </w:rPr>
        <w:t xml:space="preserve">The WIOA requires states to enhance employer services by offering work-based training models. The categories of WBL supported by WIOA - Adult, Youth, Dislocated Worker, Statewide Activities, and Rapid Response - are codified in Sections 3, 122, and 134 of WIOA Public Law </w:t>
      </w:r>
      <w:r w:rsidRPr="5FFAD990">
        <w:rPr>
          <w:rFonts w:ascii="Times New Roman" w:hAnsi="Times New Roman" w:cs="Times New Roman"/>
        </w:rPr>
        <w:lastRenderedPageBreak/>
        <w:t>113-128. This guidance adopts a standardized definition of WBL, as identified in the USDOL’s WIOA Desk</w:t>
      </w:r>
      <w:r>
        <w:rPr>
          <w:rFonts w:ascii="Times New Roman" w:hAnsi="Times New Roman" w:cs="Times New Roman"/>
        </w:rPr>
        <w:t xml:space="preserve"> </w:t>
      </w:r>
      <w:r w:rsidRPr="5FFAD990">
        <w:rPr>
          <w:rFonts w:ascii="Times New Roman" w:hAnsi="Times New Roman" w:cs="Times New Roman"/>
        </w:rPr>
        <w:t>Reference (Attachment 1), to guide implementation statewide.</w:t>
      </w:r>
    </w:p>
    <w:p w14:paraId="4B801CBF" w14:textId="77777777" w:rsidR="008F758C" w:rsidRDefault="008F758C" w:rsidP="008F758C">
      <w:pPr>
        <w:rPr>
          <w:rFonts w:ascii="Times New Roman" w:hAnsi="Times New Roman" w:cs="Times New Roman"/>
        </w:rPr>
      </w:pPr>
      <w:r w:rsidRPr="00D10251">
        <w:rPr>
          <w:rFonts w:ascii="Times New Roman" w:hAnsi="Times New Roman" w:cs="Times New Roman"/>
        </w:rPr>
        <w:t xml:space="preserve">Work-based learning can include OJT, customized training, IWT, and registered apprenticeships. These services, outlined in 20 CFR 680.200, are critical for many adults and dislocated worker participants to secure employment and engage on a career pathway that leads to self-sufficiency. </w:t>
      </w:r>
    </w:p>
    <w:p w14:paraId="62E6D12A" w14:textId="77777777" w:rsidR="008F758C" w:rsidRDefault="008F758C" w:rsidP="008F758C">
      <w:pPr>
        <w:rPr>
          <w:rFonts w:ascii="Times New Roman" w:hAnsi="Times New Roman" w:cs="Times New Roman"/>
        </w:rPr>
      </w:pPr>
      <w:r>
        <w:rPr>
          <w:rFonts w:ascii="Times New Roman" w:hAnsi="Times New Roman" w:cs="Times New Roman"/>
        </w:rPr>
        <w:t xml:space="preserve">The </w:t>
      </w:r>
      <w:r w:rsidRPr="00D10251">
        <w:rPr>
          <w:rFonts w:ascii="Times New Roman" w:hAnsi="Times New Roman" w:cs="Times New Roman"/>
        </w:rPr>
        <w:t xml:space="preserve">WIOA also envisions other WBL opportunities which allow participants to develop employability skills, acquire basic job-specific knowledge, and gain work experience, all of which prepare them for unsubsidized employment. These WBL activities include work experiences, internships, transitional jobs, job shadowing and pre-apprenticeship programs. </w:t>
      </w:r>
    </w:p>
    <w:p w14:paraId="4BA2539F" w14:textId="77777777" w:rsidR="008F758C" w:rsidRDefault="008F758C" w:rsidP="008F758C">
      <w:pPr>
        <w:rPr>
          <w:rFonts w:ascii="Times New Roman" w:hAnsi="Times New Roman" w:cs="Times New Roman"/>
        </w:rPr>
      </w:pPr>
      <w:r w:rsidRPr="00D10251">
        <w:rPr>
          <w:rFonts w:ascii="Times New Roman" w:hAnsi="Times New Roman" w:cs="Times New Roman"/>
        </w:rPr>
        <w:t>This framework reinforces North Carolina’s Certified Career Pathways and Sector Partnership strategies by promoting seamless, industry-driven education and training models that prepare individuals for in-demand careers. WBL is a vital component of this ecosystem, offering paid, progressive learning experiences that align with employer needs and support jobseekers in advancing through clearly defined career pathways toward higher-skill, higher-wage opportunities. Through strong collaboration with sector partnerships, WBL helps ensure that training is relevant, demand-driven, and contributes to a sustainable talent pipeline for key industries across the state.</w:t>
      </w:r>
    </w:p>
    <w:p w14:paraId="52E8B6AC" w14:textId="77777777" w:rsidR="008F758C" w:rsidRDefault="008F758C" w:rsidP="008F758C">
      <w:pPr>
        <w:rPr>
          <w:rFonts w:ascii="Times New Roman" w:hAnsi="Times New Roman" w:cs="Times New Roman"/>
        </w:rPr>
      </w:pPr>
      <w:r w:rsidRPr="00D10251">
        <w:rPr>
          <w:rFonts w:ascii="Times New Roman" w:hAnsi="Times New Roman" w:cs="Times New Roman"/>
        </w:rPr>
        <w:t>The state’s commitment to WBL was reaffirmed through Executive Order No. 11. The Executive Order created the Governor’s Council on Workforce and Apprenticeships. The</w:t>
      </w:r>
      <w:r>
        <w:rPr>
          <w:rFonts w:ascii="Times New Roman" w:hAnsi="Times New Roman"/>
        </w:rPr>
        <w:t xml:space="preserve"> Work-Based Learning Training Programs and Grants </w:t>
      </w:r>
      <w:r>
        <w:rPr>
          <w:rFonts w:ascii="Times New Roman" w:hAnsi="Times New Roman" w:cs="Times New Roman"/>
        </w:rPr>
        <w:t>CPS</w:t>
      </w:r>
      <w:r w:rsidRPr="00D10251">
        <w:rPr>
          <w:rFonts w:ascii="Times New Roman" w:hAnsi="Times New Roman" w:cs="Times New Roman"/>
        </w:rPr>
        <w:t xml:space="preserve"> calls for a statewide increase in employer engagement in WBL and stronger data systems to measure outcomes, impact, and alignment with labor market needs.</w:t>
      </w:r>
    </w:p>
    <w:p w14:paraId="6A421B22" w14:textId="77777777" w:rsidR="00AB6D1F" w:rsidRDefault="00AB6D1F" w:rsidP="00AB6D1F">
      <w:pPr>
        <w:rPr>
          <w:rFonts w:ascii="Times New Roman" w:hAnsi="Times New Roman" w:cs="Times New Roman"/>
        </w:rPr>
      </w:pPr>
      <w:r w:rsidRPr="5FFAD990">
        <w:rPr>
          <w:rFonts w:ascii="Times New Roman" w:hAnsi="Times New Roman" w:cs="Times New Roman"/>
        </w:rPr>
        <w:t>The WDBs are an integral piece of this strategy. They are responsible for managing WIOA formula funding to support WBL Training Grants and must assess both employer and participant eligibility in accordance with 20 CFR 680.810. The WDBs are encouraged to use WBL tools flexibly</w:t>
      </w:r>
      <w:r>
        <w:rPr>
          <w:rFonts w:ascii="Times New Roman" w:hAnsi="Times New Roman" w:cs="Times New Roman"/>
        </w:rPr>
        <w:t>,</w:t>
      </w:r>
      <w:r w:rsidRPr="5FFAD990">
        <w:rPr>
          <w:rFonts w:ascii="Times New Roman" w:hAnsi="Times New Roman" w:cs="Times New Roman"/>
        </w:rPr>
        <w:t xml:space="preserve"> adapting or combining them with other services to meet employer needs while retaining a focus on quality and compliance. Additional flexibility may be granted through other funding sources, as outlined in 20 CFR 682.210(b), with related guidance issued by the Division of Workforce Solutions (DWS) via OG notices.</w:t>
      </w:r>
    </w:p>
    <w:p w14:paraId="31A3C3BC" w14:textId="6CC480C1" w:rsidR="00AB6D1F" w:rsidRDefault="00AB6D1F" w:rsidP="00AB6D1F">
      <w:pPr>
        <w:rPr>
          <w:rFonts w:ascii="Times New Roman" w:hAnsi="Times New Roman" w:cs="Times New Roman"/>
        </w:rPr>
      </w:pPr>
      <w:r w:rsidRPr="00D10251">
        <w:rPr>
          <w:rFonts w:ascii="Times New Roman" w:hAnsi="Times New Roman" w:cs="Times New Roman"/>
        </w:rPr>
        <w:t xml:space="preserve">Standardizing WBL definitions and enhancing employer data collection </w:t>
      </w:r>
      <w:r>
        <w:rPr>
          <w:rFonts w:ascii="Times New Roman" w:hAnsi="Times New Roman" w:cs="Times New Roman"/>
        </w:rPr>
        <w:t>ensures</w:t>
      </w:r>
      <w:r w:rsidRPr="00D10251">
        <w:rPr>
          <w:rFonts w:ascii="Times New Roman" w:hAnsi="Times New Roman" w:cs="Times New Roman"/>
        </w:rPr>
        <w:t xml:space="preserve"> the state’s ability to evaluate WBL effectiveness based on geography, industry, and </w:t>
      </w:r>
      <w:r>
        <w:rPr>
          <w:rFonts w:ascii="Times New Roman" w:hAnsi="Times New Roman" w:cs="Times New Roman"/>
        </w:rPr>
        <w:t>employer</w:t>
      </w:r>
      <w:r w:rsidRPr="00D10251">
        <w:rPr>
          <w:rFonts w:ascii="Times New Roman" w:hAnsi="Times New Roman" w:cs="Times New Roman"/>
        </w:rPr>
        <w:t xml:space="preserve"> size. These insights are crucial to aligning programs with current and projected workforce needs, closing skills gaps, and ensuring that every North Carolinian </w:t>
      </w:r>
      <w:proofErr w:type="gramStart"/>
      <w:r w:rsidRPr="00D10251">
        <w:rPr>
          <w:rFonts w:ascii="Times New Roman" w:hAnsi="Times New Roman" w:cs="Times New Roman"/>
        </w:rPr>
        <w:t>has the opportunity to</w:t>
      </w:r>
      <w:proofErr w:type="gramEnd"/>
      <w:r w:rsidRPr="00D10251">
        <w:rPr>
          <w:rFonts w:ascii="Times New Roman" w:hAnsi="Times New Roman" w:cs="Times New Roman"/>
        </w:rPr>
        <w:t xml:space="preserve"> succeed in a dynamic labor market.</w:t>
      </w:r>
    </w:p>
    <w:p w14:paraId="756AA84A" w14:textId="77777777" w:rsidR="007726AA"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 xml:space="preserve">Action: </w:t>
      </w:r>
    </w:p>
    <w:p w14:paraId="10007B44" w14:textId="77777777" w:rsidR="00136AD7" w:rsidRPr="00AB6D1F" w:rsidRDefault="00136AD7" w:rsidP="00136AD7">
      <w:pPr>
        <w:framePr w:hSpace="187" w:wrap="around" w:vAnchor="text" w:hAnchor="page" w:x="1449" w:y="1221"/>
        <w:suppressOverlap/>
        <w:rPr>
          <w:rFonts w:ascii="Times New Roman" w:hAnsi="Times New Roman" w:cs="Times New Roman"/>
        </w:rPr>
      </w:pPr>
      <w:r w:rsidRPr="00AB6D1F">
        <w:rPr>
          <w:rFonts w:ascii="Times New Roman" w:hAnsi="Times New Roman" w:cs="Times New Roman"/>
        </w:rPr>
        <w:t>WDBs are required to:</w:t>
      </w:r>
    </w:p>
    <w:p w14:paraId="7D85A383" w14:textId="77777777" w:rsidR="00136AD7" w:rsidRPr="00AB6D1F" w:rsidRDefault="00136AD7" w:rsidP="00136AD7">
      <w:pPr>
        <w:framePr w:hSpace="187" w:wrap="around" w:vAnchor="text" w:hAnchor="page" w:x="1449" w:y="1221"/>
        <w:numPr>
          <w:ilvl w:val="0"/>
          <w:numId w:val="6"/>
        </w:numPr>
        <w:tabs>
          <w:tab w:val="left" w:pos="360"/>
        </w:tabs>
        <w:spacing w:line="276" w:lineRule="auto"/>
        <w:suppressOverlap/>
        <w:rPr>
          <w:rFonts w:ascii="Times New Roman" w:hAnsi="Times New Roman" w:cs="Times New Roman"/>
        </w:rPr>
      </w:pPr>
      <w:r w:rsidRPr="00AB6D1F">
        <w:rPr>
          <w:rFonts w:ascii="Times New Roman" w:hAnsi="Times New Roman" w:cs="Times New Roman"/>
        </w:rPr>
        <w:t>Adhere to the standardized WBL definitions and procedures outlined in this guidance and referenced in the attached USDOL WIOA Desk Reference.</w:t>
      </w:r>
    </w:p>
    <w:p w14:paraId="0ADEC131" w14:textId="77777777" w:rsidR="00136AD7" w:rsidRPr="00AB6D1F" w:rsidRDefault="00136AD7" w:rsidP="00136AD7">
      <w:pPr>
        <w:framePr w:hSpace="187" w:wrap="around" w:vAnchor="text" w:hAnchor="page" w:x="1449" w:y="1221"/>
        <w:numPr>
          <w:ilvl w:val="0"/>
          <w:numId w:val="6"/>
        </w:numPr>
        <w:spacing w:line="276" w:lineRule="auto"/>
        <w:suppressOverlap/>
        <w:rPr>
          <w:rFonts w:ascii="Times New Roman" w:hAnsi="Times New Roman" w:cs="Times New Roman"/>
        </w:rPr>
      </w:pPr>
      <w:r w:rsidRPr="00AB6D1F">
        <w:rPr>
          <w:rFonts w:ascii="Times New Roman" w:hAnsi="Times New Roman" w:cs="Times New Roman"/>
        </w:rPr>
        <w:t>Enter required data in NCWorks Online and Workforce Information System Enterprise (WISE) reporting systems. Specific data required can be found in each section of the guidance.    Data entry for individual participants is not required</w:t>
      </w:r>
      <w:r w:rsidRPr="00AB6D1F">
        <w:rPr>
          <w:rFonts w:ascii="Times New Roman" w:eastAsia="Segoe UI" w:hAnsi="Times New Roman" w:cs="Times New Roman"/>
          <w:color w:val="242424"/>
        </w:rPr>
        <w:t xml:space="preserve"> in Salesforce. Local boards may continue to enter data in Salesforce for WIOA participation, however data entry is required in the Integrated Funds Tracker starting in PY26 according to CPS 5-2026."</w:t>
      </w:r>
    </w:p>
    <w:p w14:paraId="1EA63E28" w14:textId="77777777" w:rsidR="00136AD7" w:rsidRPr="00AB6D1F" w:rsidRDefault="00136AD7" w:rsidP="00136AD7">
      <w:pPr>
        <w:framePr w:hSpace="187" w:wrap="around" w:vAnchor="text" w:hAnchor="page" w:x="1449" w:y="1221"/>
        <w:numPr>
          <w:ilvl w:val="0"/>
          <w:numId w:val="6"/>
        </w:numPr>
        <w:spacing w:line="276" w:lineRule="auto"/>
        <w:suppressOverlap/>
        <w:rPr>
          <w:rFonts w:ascii="Times New Roman" w:hAnsi="Times New Roman" w:cs="Times New Roman"/>
        </w:rPr>
      </w:pPr>
      <w:r w:rsidRPr="00AB6D1F">
        <w:rPr>
          <w:rFonts w:ascii="Times New Roman" w:hAnsi="Times New Roman" w:cs="Times New Roman"/>
        </w:rPr>
        <w:t>Employers are strongly encouraged to complete the enhanced wage record information in the Department of Employment Security website – NCSUITS (North Carolina State Unemployment Insurance Tax System).</w:t>
      </w:r>
    </w:p>
    <w:p w14:paraId="6AAB57B3" w14:textId="77777777" w:rsidR="00136AD7" w:rsidRPr="00AB6D1F" w:rsidRDefault="00136AD7" w:rsidP="00136AD7">
      <w:pPr>
        <w:framePr w:hSpace="187" w:wrap="around" w:vAnchor="text" w:hAnchor="page" w:x="1449" w:y="1221"/>
        <w:numPr>
          <w:ilvl w:val="0"/>
          <w:numId w:val="6"/>
        </w:numPr>
        <w:spacing w:line="276" w:lineRule="auto"/>
        <w:suppressOverlap/>
        <w:rPr>
          <w:rFonts w:ascii="Times New Roman" w:hAnsi="Times New Roman" w:cs="Times New Roman"/>
        </w:rPr>
      </w:pPr>
      <w:r w:rsidRPr="00AB6D1F">
        <w:rPr>
          <w:rFonts w:ascii="Times New Roman" w:hAnsi="Times New Roman" w:cs="Times New Roman"/>
        </w:rPr>
        <w:t>Use the standardized OJT forms provided by DWS—including the Pre-Award Analysis, Employer Agreement, Training Plan, and Mid-point/Final Assessment templates—when delivering WIOA-funded OJT services. Example WEX forms are optional; however, any forms used at the local area must comply with the guidelines provided in Attachment 7.</w:t>
      </w:r>
    </w:p>
    <w:p w14:paraId="4A505FB1" w14:textId="77777777" w:rsidR="00136AD7" w:rsidRDefault="00136AD7" w:rsidP="00136AD7">
      <w:pPr>
        <w:framePr w:hSpace="187" w:wrap="around" w:vAnchor="text" w:hAnchor="page" w:x="1449" w:y="1221"/>
        <w:numPr>
          <w:ilvl w:val="0"/>
          <w:numId w:val="6"/>
        </w:numPr>
        <w:spacing w:line="276" w:lineRule="auto"/>
        <w:suppressOverlap/>
        <w:rPr>
          <w:rFonts w:ascii="Times New Roman" w:hAnsi="Times New Roman" w:cs="Times New Roman"/>
        </w:rPr>
      </w:pPr>
      <w:r w:rsidRPr="00AB6D1F">
        <w:rPr>
          <w:rFonts w:ascii="Times New Roman" w:hAnsi="Times New Roman" w:cs="Times New Roman"/>
        </w:rPr>
        <w:t>Ensure local WBL policies comply with federal and state requirements; local policies may be more restrictive than the state guidance but not less. In cases where local policies are more restrictive, WDB staff must adhere to the local standard.</w:t>
      </w:r>
    </w:p>
    <w:p w14:paraId="0873F833" w14:textId="77777777" w:rsidR="00136AD7" w:rsidRPr="00AB6D1F" w:rsidRDefault="00136AD7" w:rsidP="00136AD7">
      <w:pPr>
        <w:framePr w:hSpace="187" w:wrap="around" w:vAnchor="text" w:hAnchor="page" w:x="1449" w:y="1221"/>
        <w:numPr>
          <w:ilvl w:val="0"/>
          <w:numId w:val="6"/>
        </w:numPr>
        <w:spacing w:line="276" w:lineRule="auto"/>
        <w:suppressOverlap/>
        <w:rPr>
          <w:rFonts w:ascii="Times New Roman" w:hAnsi="Times New Roman" w:cs="Times New Roman"/>
        </w:rPr>
      </w:pPr>
      <w:r w:rsidRPr="00DF189D">
        <w:rPr>
          <w:rFonts w:ascii="Times New Roman" w:hAnsi="Times New Roman" w:cs="Times New Roman"/>
        </w:rPr>
        <w:t>Coordinate WBL implementation across core partners to support co-enrollment, career pathway development, and employer engagement strategies, in alignment with WIOA Section 108 and 20 CFR 679.560(2).</w:t>
      </w:r>
    </w:p>
    <w:p w14:paraId="06F2B146" w14:textId="7A67AFDF" w:rsidR="007726AA" w:rsidRDefault="00AB6D1F" w:rsidP="00AB6D1F">
      <w:pPr>
        <w:tabs>
          <w:tab w:val="left" w:pos="5415"/>
        </w:tabs>
        <w:rPr>
          <w:rFonts w:ascii="Times New Roman" w:hAnsi="Times New Roman" w:cs="Times New Roman"/>
        </w:rPr>
      </w:pPr>
      <w:r w:rsidRPr="00DF189D">
        <w:rPr>
          <w:rFonts w:ascii="Times New Roman" w:hAnsi="Times New Roman" w:cs="Times New Roman"/>
        </w:rPr>
        <w:t>To support the statewide alignment of WBL with USDOL, the NCWorks Commission Policy Statement, and Executive Order No. 11, WDBs must follow</w:t>
      </w:r>
      <w:r w:rsidR="003C0E54" w:rsidRPr="00BC4FAE">
        <w:rPr>
          <w:color w:val="000000" w:themeColor="text1"/>
        </w:rPr>
        <w:tab/>
      </w:r>
      <w:r>
        <w:rPr>
          <w:color w:val="000000" w:themeColor="text1"/>
        </w:rPr>
        <w:t xml:space="preserve"> </w:t>
      </w:r>
      <w:r w:rsidRPr="00DF189D">
        <w:rPr>
          <w:rFonts w:ascii="Times New Roman" w:hAnsi="Times New Roman" w:cs="Times New Roman"/>
        </w:rPr>
        <w:t>the integrated guidance provided in this guidance for all WBL activities.</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BC4FAE">
        <w:rPr>
          <w:rFonts w:ascii="Times New Roman" w:hAnsi="Times New Roman" w:cs="Times New Roman"/>
          <w:b/>
          <w:bCs/>
          <w:color w:val="000000" w:themeColor="text1"/>
          <w:sz w:val="24"/>
          <w:szCs w:val="24"/>
        </w:rPr>
        <w:t>Effective Date:</w:t>
      </w:r>
      <w:r w:rsidRPr="00BC4FAE">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081C2AAB" w:rsidR="006662FB" w:rsidRPr="00BC4FAE" w:rsidRDefault="006662FB" w:rsidP="00136AD7">
      <w:pPr>
        <w:pStyle w:val="Heading1"/>
        <w:tabs>
          <w:tab w:val="left" w:pos="360"/>
        </w:tabs>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Expiration:</w:t>
      </w:r>
      <w:r w:rsidRPr="00BC4FAE">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BC4FAE"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t>Contact:</w:t>
      </w:r>
      <w:r w:rsidRPr="00BC4FAE">
        <w:rPr>
          <w:rFonts w:ascii="Times New Roman" w:hAnsi="Times New Roman" w:cs="Times New Roman"/>
          <w:b/>
          <w:bCs/>
          <w:color w:val="000000" w:themeColor="text1"/>
          <w:sz w:val="24"/>
          <w:szCs w:val="24"/>
        </w:rPr>
        <w:tab/>
      </w:r>
    </w:p>
    <w:p w14:paraId="39ADAFD9" w14:textId="7959652C" w:rsidR="00700500" w:rsidRPr="00661047" w:rsidRDefault="00700500" w:rsidP="00D90DFB">
      <w:pPr>
        <w:rPr>
          <w:rFonts w:ascii="Times New Roman" w:hAnsi="Times New Roman" w:cs="Times New Roman"/>
          <w:color w:val="000000" w:themeColor="text1"/>
        </w:rPr>
      </w:pPr>
      <w:r>
        <w:rPr>
          <w:rFonts w:ascii="Times New Roman" w:hAnsi="Times New Roman" w:cs="Times New Roman"/>
          <w:color w:val="000000" w:themeColor="text1"/>
        </w:rPr>
        <w:t>Industry and Talent Development Unit</w:t>
      </w:r>
    </w:p>
    <w:p w14:paraId="3AAF3383" w14:textId="758B4643" w:rsidR="006662FB" w:rsidRDefault="006662FB" w:rsidP="006662FB">
      <w:pPr>
        <w:pStyle w:val="Heading1"/>
        <w:rPr>
          <w:rFonts w:ascii="Times New Roman" w:hAnsi="Times New Roman" w:cs="Times New Roman"/>
          <w:b/>
          <w:bCs/>
          <w:color w:val="000000" w:themeColor="text1"/>
          <w:sz w:val="24"/>
          <w:szCs w:val="24"/>
        </w:rPr>
      </w:pPr>
      <w:r w:rsidRPr="00BC4FAE">
        <w:rPr>
          <w:rFonts w:ascii="Times New Roman" w:hAnsi="Times New Roman" w:cs="Times New Roman"/>
          <w:b/>
          <w:bCs/>
          <w:color w:val="000000" w:themeColor="text1"/>
          <w:sz w:val="24"/>
          <w:szCs w:val="24"/>
        </w:rPr>
        <w:lastRenderedPageBreak/>
        <w:t>Attachment</w:t>
      </w:r>
      <w:r w:rsidR="0054241E">
        <w:rPr>
          <w:rFonts w:ascii="Times New Roman" w:hAnsi="Times New Roman" w:cs="Times New Roman"/>
          <w:b/>
          <w:bCs/>
          <w:color w:val="000000" w:themeColor="text1"/>
          <w:sz w:val="24"/>
          <w:szCs w:val="24"/>
        </w:rPr>
        <w:t>s</w:t>
      </w:r>
      <w:r w:rsidRPr="00BC4FAE">
        <w:rPr>
          <w:rFonts w:ascii="Times New Roman" w:hAnsi="Times New Roman" w:cs="Times New Roman"/>
          <w:b/>
          <w:bCs/>
          <w:color w:val="000000" w:themeColor="text1"/>
          <w:sz w:val="24"/>
          <w:szCs w:val="24"/>
        </w:rPr>
        <w:t>:</w:t>
      </w:r>
      <w:r w:rsidRPr="00BC4FAE">
        <w:rPr>
          <w:rFonts w:ascii="Times New Roman" w:hAnsi="Times New Roman" w:cs="Times New Roman"/>
          <w:b/>
          <w:bCs/>
          <w:color w:val="000000" w:themeColor="text1"/>
          <w:sz w:val="24"/>
          <w:szCs w:val="24"/>
        </w:rPr>
        <w:tab/>
      </w:r>
    </w:p>
    <w:sdt>
      <w:sdtPr>
        <w:rPr>
          <w:strike/>
        </w:rPr>
        <w:id w:val="-693465186"/>
        <w:placeholder>
          <w:docPart w:val="FEB71D4C451F4480B600A04E0D9566D7"/>
        </w:placeholder>
      </w:sdtPr>
      <w:sdtEndPr>
        <w:rPr>
          <w:rFonts w:ascii="Times New Roman" w:eastAsiaTheme="minorEastAsia" w:hAnsi="Times New Roman" w:cs="Times New Roman"/>
        </w:rPr>
      </w:sdtEndPr>
      <w:sdtContent>
        <w:p w14:paraId="1A4AA2BB" w14:textId="7D133462" w:rsidR="00700500" w:rsidRPr="00700500" w:rsidRDefault="00700500" w:rsidP="00700500">
          <w:pPr>
            <w:pStyle w:val="NoSpacing"/>
            <w:numPr>
              <w:ilvl w:val="0"/>
              <w:numId w:val="7"/>
            </w:numPr>
            <w:spacing w:line="276" w:lineRule="auto"/>
            <w:rPr>
              <w:rFonts w:ascii="Times New Roman" w:hAnsi="Times New Roman" w:cs="Times New Roman"/>
            </w:rPr>
          </w:pPr>
          <w:r w:rsidRPr="00700500">
            <w:rPr>
              <w:rFonts w:ascii="Times New Roman" w:hAnsi="Times New Roman" w:cs="Times New Roman"/>
            </w:rPr>
            <w:t>USDOL WIOA Desk Reference</w:t>
          </w:r>
        </w:p>
        <w:p w14:paraId="3C51A851" w14:textId="23D44812" w:rsidR="00700500" w:rsidRPr="00700500" w:rsidRDefault="00700500" w:rsidP="00700500">
          <w:pPr>
            <w:pStyle w:val="NoSpacing"/>
            <w:numPr>
              <w:ilvl w:val="0"/>
              <w:numId w:val="7"/>
            </w:numPr>
            <w:spacing w:line="276" w:lineRule="auto"/>
            <w:rPr>
              <w:rFonts w:ascii="Times New Roman" w:hAnsi="Times New Roman" w:cs="Times New Roman"/>
            </w:rPr>
          </w:pPr>
          <w:r w:rsidRPr="00700500">
            <w:rPr>
              <w:rFonts w:ascii="Times New Roman" w:hAnsi="Times New Roman" w:cs="Times New Roman"/>
            </w:rPr>
            <w:t>OJT Eligibility and Requirements Guidance</w:t>
          </w:r>
        </w:p>
        <w:p w14:paraId="23B2F0BD" w14:textId="3CABA73C" w:rsidR="00700500" w:rsidRPr="00700500" w:rsidRDefault="00700500" w:rsidP="00700500">
          <w:pPr>
            <w:pStyle w:val="NoSpacing"/>
            <w:numPr>
              <w:ilvl w:val="0"/>
              <w:numId w:val="7"/>
            </w:numPr>
            <w:spacing w:line="276" w:lineRule="auto"/>
            <w:rPr>
              <w:rFonts w:ascii="Times New Roman" w:hAnsi="Times New Roman" w:cs="Times New Roman"/>
            </w:rPr>
          </w:pPr>
          <w:r w:rsidRPr="00700500">
            <w:rPr>
              <w:rFonts w:ascii="Times New Roman" w:hAnsi="Times New Roman" w:cs="Times New Roman"/>
            </w:rPr>
            <w:t>OJT Forms</w:t>
          </w:r>
        </w:p>
        <w:p w14:paraId="22CA36D0" w14:textId="7F3F92E7" w:rsidR="00700500" w:rsidRPr="00700500" w:rsidRDefault="00700500" w:rsidP="00700500">
          <w:pPr>
            <w:pStyle w:val="NoSpacing"/>
            <w:numPr>
              <w:ilvl w:val="0"/>
              <w:numId w:val="7"/>
            </w:numPr>
            <w:spacing w:line="276" w:lineRule="auto"/>
            <w:rPr>
              <w:rFonts w:ascii="Times New Roman" w:hAnsi="Times New Roman" w:cs="Times New Roman"/>
            </w:rPr>
          </w:pPr>
          <w:r w:rsidRPr="00700500">
            <w:rPr>
              <w:rFonts w:ascii="Times New Roman" w:hAnsi="Times New Roman" w:cs="Times New Roman"/>
              <w:color w:val="000000" w:themeColor="text1"/>
            </w:rPr>
            <w:t>Customized Training Eligibility and Guidance</w:t>
          </w:r>
        </w:p>
        <w:p w14:paraId="42A58D39" w14:textId="6C1AFC46" w:rsidR="00700500" w:rsidRPr="00700500" w:rsidRDefault="00700500" w:rsidP="00700500">
          <w:pPr>
            <w:pStyle w:val="NoSpacing"/>
            <w:numPr>
              <w:ilvl w:val="0"/>
              <w:numId w:val="7"/>
            </w:numPr>
            <w:spacing w:line="276" w:lineRule="auto"/>
            <w:rPr>
              <w:rFonts w:ascii="Times New Roman" w:hAnsi="Times New Roman" w:cs="Times New Roman"/>
            </w:rPr>
          </w:pPr>
          <w:r w:rsidRPr="00700500">
            <w:rPr>
              <w:rFonts w:ascii="Times New Roman" w:hAnsi="Times New Roman" w:cs="Times New Roman"/>
            </w:rPr>
            <w:t>Incumbent Worker Training Eligibility and Guidance</w:t>
          </w:r>
        </w:p>
        <w:p w14:paraId="64279E5E" w14:textId="583F4ED7" w:rsidR="00700500" w:rsidRPr="00700500" w:rsidRDefault="00700500" w:rsidP="00700500">
          <w:pPr>
            <w:pStyle w:val="NoSpacing"/>
            <w:numPr>
              <w:ilvl w:val="0"/>
              <w:numId w:val="7"/>
            </w:numPr>
            <w:spacing w:line="276" w:lineRule="auto"/>
            <w:rPr>
              <w:rFonts w:ascii="Times New Roman" w:hAnsi="Times New Roman" w:cs="Times New Roman"/>
            </w:rPr>
          </w:pPr>
          <w:r w:rsidRPr="00700500">
            <w:rPr>
              <w:rFonts w:ascii="Times New Roman" w:hAnsi="Times New Roman" w:cs="Times New Roman"/>
            </w:rPr>
            <w:t>Registered Apprenticeship Eligibility and Guidance</w:t>
          </w:r>
        </w:p>
        <w:p w14:paraId="5EF3741B" w14:textId="2DCA1E61" w:rsidR="00700500" w:rsidRPr="002F6555" w:rsidRDefault="00700500" w:rsidP="002F6555">
          <w:pPr>
            <w:pStyle w:val="NoSpacing"/>
            <w:numPr>
              <w:ilvl w:val="0"/>
              <w:numId w:val="7"/>
            </w:numPr>
            <w:spacing w:line="276" w:lineRule="auto"/>
            <w:rPr>
              <w:rFonts w:ascii="Times New Roman" w:hAnsi="Times New Roman" w:cs="Times New Roman"/>
            </w:rPr>
          </w:pPr>
          <w:r w:rsidRPr="002F6555">
            <w:rPr>
              <w:rFonts w:ascii="Times New Roman" w:hAnsi="Times New Roman" w:cs="Times New Roman"/>
            </w:rPr>
            <w:t>WEX Eligibility and Guidance</w:t>
          </w:r>
        </w:p>
        <w:p w14:paraId="10006644" w14:textId="30F4D107" w:rsidR="00700500" w:rsidRPr="00700500" w:rsidRDefault="00700500" w:rsidP="00700500">
          <w:pPr>
            <w:pStyle w:val="NoSpacing"/>
            <w:numPr>
              <w:ilvl w:val="0"/>
              <w:numId w:val="7"/>
            </w:numPr>
            <w:spacing w:line="276" w:lineRule="auto"/>
            <w:rPr>
              <w:rFonts w:ascii="Times New Roman" w:hAnsi="Times New Roman" w:cs="Times New Roman"/>
            </w:rPr>
          </w:pPr>
          <w:r w:rsidRPr="00700500">
            <w:rPr>
              <w:rFonts w:ascii="Times New Roman" w:hAnsi="Times New Roman" w:cs="Times New Roman"/>
            </w:rPr>
            <w:t>WEX Forms</w:t>
          </w:r>
        </w:p>
      </w:sdtContent>
    </w:sdt>
    <w:p w14:paraId="72A63A75" w14:textId="77777777" w:rsidR="006662FB" w:rsidRPr="001B40E6" w:rsidRDefault="006662FB" w:rsidP="006662FB">
      <w:pPr>
        <w:rPr>
          <w:rFonts w:ascii="Times New Roman" w:hAnsi="Times New Roman" w:cs="Times New Roman"/>
        </w:rPr>
      </w:pP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1C41" w14:textId="77777777" w:rsidR="002E0B5B" w:rsidRDefault="002E0B5B" w:rsidP="006662FB">
      <w:pPr>
        <w:spacing w:after="0" w:line="240" w:lineRule="auto"/>
      </w:pPr>
      <w:r>
        <w:separator/>
      </w:r>
    </w:p>
  </w:endnote>
  <w:endnote w:type="continuationSeparator" w:id="0">
    <w:p w14:paraId="2F80E268" w14:textId="77777777" w:rsidR="002E0B5B" w:rsidRDefault="002E0B5B"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3E4D3" w14:textId="77777777" w:rsidR="002E0B5B" w:rsidRDefault="002E0B5B" w:rsidP="006662FB">
      <w:pPr>
        <w:spacing w:after="0" w:line="240" w:lineRule="auto"/>
      </w:pPr>
      <w:r>
        <w:separator/>
      </w:r>
    </w:p>
  </w:footnote>
  <w:footnote w:type="continuationSeparator" w:id="0">
    <w:p w14:paraId="20C2C275" w14:textId="77777777" w:rsidR="002E0B5B" w:rsidRDefault="002E0B5B"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76632AD0"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556E6B71"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5E04BA12"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21D0"/>
    <w:multiLevelType w:val="hybridMultilevel"/>
    <w:tmpl w:val="A8925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C1AA8"/>
    <w:multiLevelType w:val="multilevel"/>
    <w:tmpl w:val="8A6E3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F3648C"/>
    <w:multiLevelType w:val="hybridMultilevel"/>
    <w:tmpl w:val="47F0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925638">
    <w:abstractNumId w:val="2"/>
  </w:num>
  <w:num w:numId="2" w16cid:durableId="435366992">
    <w:abstractNumId w:val="4"/>
  </w:num>
  <w:num w:numId="3" w16cid:durableId="520750053">
    <w:abstractNumId w:val="6"/>
  </w:num>
  <w:num w:numId="4" w16cid:durableId="1271012784">
    <w:abstractNumId w:val="1"/>
  </w:num>
  <w:num w:numId="5" w16cid:durableId="634335300">
    <w:abstractNumId w:val="5"/>
  </w:num>
  <w:num w:numId="6" w16cid:durableId="1825318406">
    <w:abstractNumId w:val="3"/>
  </w:num>
  <w:num w:numId="7" w16cid:durableId="717820585">
    <w:abstractNumId w:val="0"/>
  </w:num>
  <w:num w:numId="8" w16cid:durableId="1337881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7668C"/>
    <w:rsid w:val="00136AD7"/>
    <w:rsid w:val="001A7ED0"/>
    <w:rsid w:val="001B40E6"/>
    <w:rsid w:val="002E0B5B"/>
    <w:rsid w:val="002F6555"/>
    <w:rsid w:val="00384BFE"/>
    <w:rsid w:val="003C0E54"/>
    <w:rsid w:val="003D62B7"/>
    <w:rsid w:val="00496A34"/>
    <w:rsid w:val="004A54AB"/>
    <w:rsid w:val="0050440D"/>
    <w:rsid w:val="005310FE"/>
    <w:rsid w:val="0054241E"/>
    <w:rsid w:val="00661047"/>
    <w:rsid w:val="006662FB"/>
    <w:rsid w:val="006E07B4"/>
    <w:rsid w:val="00700500"/>
    <w:rsid w:val="007726AA"/>
    <w:rsid w:val="007F3066"/>
    <w:rsid w:val="007F7DA6"/>
    <w:rsid w:val="00813239"/>
    <w:rsid w:val="0088650E"/>
    <w:rsid w:val="008F758C"/>
    <w:rsid w:val="00AB6D1F"/>
    <w:rsid w:val="00B35815"/>
    <w:rsid w:val="00B60106"/>
    <w:rsid w:val="00BC4FAE"/>
    <w:rsid w:val="00BC7CDA"/>
    <w:rsid w:val="00BE1671"/>
    <w:rsid w:val="00CD1349"/>
    <w:rsid w:val="00D02678"/>
    <w:rsid w:val="00D90DFB"/>
    <w:rsid w:val="00F2676A"/>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styleId="NoSpacing">
    <w:name w:val="No Spacing"/>
    <w:uiPriority w:val="1"/>
    <w:qFormat/>
    <w:rsid w:val="007005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EB71D4C451F4480B600A04E0D9566D7"/>
        <w:category>
          <w:name w:val="General"/>
          <w:gallery w:val="placeholder"/>
        </w:category>
        <w:types>
          <w:type w:val="bbPlcHdr"/>
        </w:types>
        <w:behaviors>
          <w:behavior w:val="content"/>
        </w:behaviors>
        <w:guid w:val="{A4BA5B2E-B429-4E40-AE0F-FCA2C947BD34}"/>
      </w:docPartPr>
      <w:docPartBody>
        <w:p w:rsidR="00C240E9" w:rsidRDefault="00C240E9" w:rsidP="00C240E9">
          <w:pPr>
            <w:pStyle w:val="FEB71D4C451F4480B600A04E0D9566D7"/>
          </w:pPr>
          <w:r w:rsidRPr="000F7B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E9"/>
    <w:rsid w:val="00062F18"/>
    <w:rsid w:val="00384BFE"/>
    <w:rsid w:val="00813239"/>
    <w:rsid w:val="00C2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0E9"/>
    <w:rPr>
      <w:color w:val="808080"/>
    </w:rPr>
  </w:style>
  <w:style w:type="paragraph" w:customStyle="1" w:styleId="FEB71D4C451F4480B600A04E0D9566D7">
    <w:name w:val="FEB71D4C451F4480B600A04E0D9566D7"/>
    <w:rsid w:val="00C24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German, Berlina Y</cp:lastModifiedBy>
  <cp:revision>9</cp:revision>
  <dcterms:created xsi:type="dcterms:W3CDTF">2026-03-26T19:01:00Z</dcterms:created>
  <dcterms:modified xsi:type="dcterms:W3CDTF">2026-06-01T14:27:00Z</dcterms:modified>
</cp:coreProperties>
</file>