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7442EBD4">
            <wp:simplePos x="0" y="0"/>
            <wp:positionH relativeFrom="margin">
              <wp:posOffset>38100</wp:posOffset>
            </wp:positionH>
            <wp:positionV relativeFrom="line">
              <wp:posOffset>-6985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E6A13F2"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139B9">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p>
    <w:p w14:paraId="49BCD8F1" w14:textId="0580AEAA" w:rsidR="007726AA" w:rsidRPr="00B139B9" w:rsidRDefault="00B139B9" w:rsidP="006662FB">
      <w:pPr>
        <w:rPr>
          <w:rFonts w:ascii="Times New Roman" w:hAnsi="Times New Roman" w:cs="Times New Roman"/>
          <w:b/>
          <w:bCs/>
          <w:sz w:val="28"/>
          <w:szCs w:val="28"/>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B139B9">
        <w:rPr>
          <w:rFonts w:ascii="Times New Roman" w:hAnsi="Times New Roman" w:cs="Times New Roman"/>
          <w:b/>
          <w:bCs/>
          <w:sz w:val="28"/>
          <w:szCs w:val="28"/>
        </w:rPr>
        <w:t>Policy Statement</w:t>
      </w:r>
      <w:r>
        <w:rPr>
          <w:rFonts w:ascii="Times New Roman" w:hAnsi="Times New Roman" w:cs="Times New Roman"/>
          <w:b/>
          <w:bCs/>
          <w:sz w:val="20"/>
          <w:szCs w:val="20"/>
        </w:rPr>
        <w:t xml:space="preserve">: </w:t>
      </w:r>
      <w:r>
        <w:rPr>
          <w:rFonts w:ascii="Times New Roman" w:hAnsi="Times New Roman" w:cs="Times New Roman"/>
          <w:b/>
          <w:bCs/>
          <w:sz w:val="28"/>
          <w:szCs w:val="28"/>
        </w:rPr>
        <w:t>PS 17-2015</w:t>
      </w:r>
    </w:p>
    <w:p w14:paraId="41FBEDB1" w14:textId="77777777" w:rsidR="007726AA" w:rsidRDefault="007726AA" w:rsidP="006662FB">
      <w:pPr>
        <w:rPr>
          <w:rFonts w:ascii="Times New Roman" w:hAnsi="Times New Roman" w:cs="Times New Roman"/>
          <w:b/>
          <w:bCs/>
        </w:rPr>
      </w:pPr>
    </w:p>
    <w:p w14:paraId="5733E6D4" w14:textId="011321CC"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B139B9">
        <w:rPr>
          <w:rFonts w:ascii="Times New Roman" w:hAnsi="Times New Roman" w:cs="Times New Roman"/>
        </w:rPr>
        <w:t>September 4, 2015</w:t>
      </w:r>
    </w:p>
    <w:p w14:paraId="7D2B26EF" w14:textId="34B96675"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139B9" w:rsidRPr="00B139B9">
        <w:rPr>
          <w:rFonts w:ascii="Times New Roman"/>
          <w:bCs/>
          <w:color w:val="282A2A"/>
          <w:szCs w:val="22"/>
        </w:rPr>
        <w:t xml:space="preserve">To rescind </w:t>
      </w:r>
      <w:r w:rsidR="00B139B9" w:rsidRPr="00B139B9">
        <w:rPr>
          <w:rFonts w:ascii="Times New Roman"/>
          <w:bCs/>
          <w:color w:val="3A3A3A"/>
          <w:szCs w:val="22"/>
        </w:rPr>
        <w:t xml:space="preserve">Workforce </w:t>
      </w:r>
      <w:r w:rsidR="00B139B9" w:rsidRPr="00B139B9">
        <w:rPr>
          <w:rFonts w:ascii="Times New Roman"/>
          <w:bCs/>
          <w:color w:val="282A2A"/>
          <w:szCs w:val="22"/>
        </w:rPr>
        <w:t xml:space="preserve">Investment </w:t>
      </w:r>
      <w:r w:rsidR="00B139B9" w:rsidRPr="00B139B9">
        <w:rPr>
          <w:rFonts w:ascii="Times New Roman"/>
          <w:bCs/>
          <w:color w:val="3A3A3A"/>
          <w:szCs w:val="22"/>
        </w:rPr>
        <w:t xml:space="preserve">Act (WIA) North Carolina </w:t>
      </w:r>
      <w:r w:rsidR="00B139B9" w:rsidRPr="00B139B9">
        <w:rPr>
          <w:rFonts w:ascii="Times New Roman"/>
          <w:bCs/>
          <w:color w:val="282A2A"/>
          <w:szCs w:val="22"/>
        </w:rPr>
        <w:t xml:space="preserve">Local Area Issuances and Policy </w:t>
      </w:r>
      <w:r w:rsidR="00B139B9" w:rsidRPr="00B139B9">
        <w:rPr>
          <w:rFonts w:ascii="Times New Roman"/>
          <w:bCs/>
          <w:color w:val="3A3A3A"/>
          <w:szCs w:val="22"/>
        </w:rPr>
        <w:t>Statements</w:t>
      </w:r>
    </w:p>
    <w:p w14:paraId="2523643D" w14:textId="40567E2B"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139B9">
        <w:rPr>
          <w:rFonts w:ascii="Times New Roman" w:hAnsi="Times New Roman" w:cs="Times New Roman"/>
        </w:rPr>
        <w:t>William H. Collins, Jr.</w:t>
      </w:r>
      <w:r w:rsidR="00BC4FAE">
        <w:rPr>
          <w:rFonts w:ascii="Times New Roman" w:hAnsi="Times New Roman" w:cs="Times New Roman"/>
        </w:rPr>
        <w:t>, Assistant Secretary for Workforce</w:t>
      </w:r>
    </w:p>
    <w:p w14:paraId="26B45BCB" w14:textId="77777777" w:rsidR="00B139B9"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00B139B9">
        <w:rPr>
          <w:rFonts w:ascii="Times New Roman" w:hAnsi="Times New Roman" w:cs="Times New Roman"/>
          <w:b/>
          <w:bCs/>
          <w:color w:val="000000" w:themeColor="text1"/>
          <w:sz w:val="24"/>
          <w:szCs w:val="24"/>
        </w:rPr>
        <w:t xml:space="preserve"> </w:t>
      </w:r>
    </w:p>
    <w:p w14:paraId="761C19D0" w14:textId="52EE38E4" w:rsidR="004E411A" w:rsidRPr="004E411A" w:rsidRDefault="004E411A" w:rsidP="004E411A">
      <w:pPr>
        <w:rPr>
          <w:rFonts w:ascii="Times New Roman" w:hAnsi="Times New Roman" w:cs="Times New Roman"/>
        </w:rPr>
      </w:pPr>
      <w:r w:rsidRPr="004E411A">
        <w:rPr>
          <w:rFonts w:ascii="Times New Roman" w:hAnsi="Times New Roman" w:cs="Times New Roman"/>
          <w:color w:val="3A3A3A"/>
          <w:position w:val="1"/>
        </w:rPr>
        <w:t>To</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color w:val="3A3A3A"/>
          <w:position w:val="1"/>
        </w:rPr>
        <w:t>rescind</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color w:val="3A3A3A"/>
          <w:position w:val="1"/>
        </w:rPr>
        <w:t>inactive</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color w:val="3A3A3A"/>
          <w:position w:val="1"/>
        </w:rPr>
        <w:t>Workforce</w:t>
      </w:r>
      <w:r w:rsidRPr="004E411A">
        <w:rPr>
          <w:rFonts w:ascii="Times New Roman" w:hAnsi="Times New Roman" w:cs="Times New Roman"/>
          <w:color w:val="3A3A3A"/>
          <w:spacing w:val="78"/>
          <w:position w:val="1"/>
        </w:rPr>
        <w:t xml:space="preserve"> </w:t>
      </w:r>
      <w:r w:rsidRPr="004E411A">
        <w:rPr>
          <w:rFonts w:ascii="Times New Roman" w:hAnsi="Times New Roman" w:cs="Times New Roman"/>
          <w:color w:val="3A3A3A"/>
          <w:position w:val="1"/>
        </w:rPr>
        <w:t>Investment</w:t>
      </w:r>
      <w:r w:rsidRPr="004E411A">
        <w:rPr>
          <w:rFonts w:ascii="Times New Roman" w:hAnsi="Times New Roman" w:cs="Times New Roman"/>
          <w:color w:val="3A3A3A"/>
          <w:spacing w:val="78"/>
          <w:position w:val="1"/>
        </w:rPr>
        <w:t xml:space="preserve"> </w:t>
      </w:r>
      <w:r w:rsidRPr="004E411A">
        <w:rPr>
          <w:rFonts w:ascii="Times New Roman" w:hAnsi="Times New Roman" w:cs="Times New Roman"/>
          <w:color w:val="3A3A3A"/>
          <w:position w:val="1"/>
        </w:rPr>
        <w:t>Act</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b/>
          <w:color w:val="3A3A3A"/>
          <w:position w:val="1"/>
        </w:rPr>
        <w:t>(WIA)</w:t>
      </w:r>
      <w:r w:rsidRPr="004E411A">
        <w:rPr>
          <w:rFonts w:ascii="Times New Roman" w:hAnsi="Times New Roman" w:cs="Times New Roman"/>
          <w:b/>
          <w:color w:val="3A3A3A"/>
          <w:spacing w:val="40"/>
          <w:position w:val="1"/>
        </w:rPr>
        <w:t xml:space="preserve"> </w:t>
      </w:r>
      <w:r w:rsidRPr="004E411A">
        <w:rPr>
          <w:rFonts w:ascii="Times New Roman" w:hAnsi="Times New Roman" w:cs="Times New Roman"/>
          <w:color w:val="3A3A3A"/>
          <w:position w:val="1"/>
        </w:rPr>
        <w:t>Local</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color w:val="3A3A3A"/>
          <w:position w:val="1"/>
        </w:rPr>
        <w:t>Area</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color w:val="3A3A3A"/>
          <w:position w:val="1"/>
        </w:rPr>
        <w:t>Issuances</w:t>
      </w:r>
      <w:r w:rsidRPr="004E411A">
        <w:rPr>
          <w:rFonts w:ascii="Times New Roman" w:hAnsi="Times New Roman" w:cs="Times New Roman"/>
          <w:color w:val="3A3A3A"/>
          <w:spacing w:val="40"/>
          <w:position w:val="1"/>
        </w:rPr>
        <w:t xml:space="preserve"> </w:t>
      </w:r>
      <w:r w:rsidRPr="004E411A">
        <w:rPr>
          <w:rFonts w:ascii="Times New Roman" w:hAnsi="Times New Roman" w:cs="Times New Roman"/>
          <w:color w:val="3A3A3A"/>
          <w:position w:val="1"/>
        </w:rPr>
        <w:t xml:space="preserve">and </w:t>
      </w:r>
      <w:r w:rsidRPr="004E411A">
        <w:rPr>
          <w:rFonts w:ascii="Times New Roman" w:hAnsi="Times New Roman" w:cs="Times New Roman"/>
          <w:color w:val="3A3A3A"/>
        </w:rPr>
        <w:t>Policy Statements.</w:t>
      </w:r>
    </w:p>
    <w:p w14:paraId="3E17FB4A" w14:textId="4B722C58"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579395F3" w:rsidR="007726AA" w:rsidRPr="001B518B" w:rsidRDefault="001B518B" w:rsidP="001B518B">
      <w:pPr>
        <w:rPr>
          <w:rFonts w:ascii="Times New Roman" w:hAnsi="Times New Roman" w:cs="Times New Roman"/>
          <w:color w:val="000000" w:themeColor="text1"/>
        </w:rPr>
      </w:pPr>
      <w:r w:rsidRPr="001B518B">
        <w:rPr>
          <w:rFonts w:ascii="Times New Roman" w:hAnsi="Times New Roman" w:cs="Times New Roman"/>
          <w:color w:val="3A3A3A"/>
        </w:rPr>
        <w:t>The Workforce Innovation and Opportunity Act (WIOA) was effective July 1, 2015 unless otherwise noted in the Act.</w:t>
      </w:r>
      <w:r w:rsidRPr="001B518B">
        <w:rPr>
          <w:rFonts w:ascii="Times New Roman" w:hAnsi="Times New Roman" w:cs="Times New Roman"/>
          <w:color w:val="3A3A3A"/>
          <w:spacing w:val="40"/>
        </w:rPr>
        <w:t xml:space="preserve"> </w:t>
      </w:r>
      <w:r w:rsidRPr="001B518B">
        <w:rPr>
          <w:rFonts w:ascii="Times New Roman" w:hAnsi="Times New Roman" w:cs="Times New Roman"/>
          <w:color w:val="3A3A3A"/>
        </w:rPr>
        <w:t>WIOA is designed to assist job seekers to access employment, education, training, and support services to succeed in the labor market and to match employers with the skilled workers they need to compete in the global economy.</w:t>
      </w:r>
      <w:r w:rsidRPr="001B518B">
        <w:rPr>
          <w:rFonts w:ascii="Times New Roman" w:hAnsi="Times New Roman" w:cs="Times New Roman"/>
          <w:color w:val="3A3A3A"/>
          <w:spacing w:val="40"/>
        </w:rPr>
        <w:t xml:space="preserve"> </w:t>
      </w:r>
      <w:r w:rsidRPr="001B518B">
        <w:rPr>
          <w:rFonts w:ascii="Times New Roman" w:hAnsi="Times New Roman" w:cs="Times New Roman"/>
          <w:color w:val="3A3A3A"/>
        </w:rPr>
        <w:t>WIOA supersedes the Workforce Investment Act of 1998 and amends the Adult Education and Family Literacy Act, the Wagner-Peyser Act, and the Rehabilitation Act of 1973.</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29F5FAC5" w14:textId="77777777" w:rsidR="001B518B" w:rsidRPr="001B518B" w:rsidRDefault="001B518B" w:rsidP="001B518B">
      <w:pPr>
        <w:tabs>
          <w:tab w:val="left" w:pos="5415"/>
        </w:tabs>
        <w:rPr>
          <w:rFonts w:ascii="Times New Roman" w:hAnsi="Times New Roman" w:cs="Times New Roman"/>
          <w:color w:val="000000" w:themeColor="text1"/>
        </w:rPr>
      </w:pPr>
      <w:r w:rsidRPr="001B518B">
        <w:rPr>
          <w:rFonts w:ascii="Times New Roman" w:hAnsi="Times New Roman" w:cs="Times New Roman"/>
          <w:color w:val="000000" w:themeColor="text1"/>
        </w:rPr>
        <w:t>North Carolina has implemented the Workforce Innovation and Opportunity Act and operates WIOA workforce programs within the guidelines of the WIOA and state policies.</w:t>
      </w:r>
    </w:p>
    <w:p w14:paraId="50F8A65F" w14:textId="77777777" w:rsidR="001B518B" w:rsidRPr="001B518B" w:rsidRDefault="001B518B" w:rsidP="001B518B">
      <w:pPr>
        <w:tabs>
          <w:tab w:val="left" w:pos="5415"/>
        </w:tabs>
        <w:rPr>
          <w:rFonts w:ascii="Times New Roman" w:hAnsi="Times New Roman" w:cs="Times New Roman"/>
          <w:color w:val="000000" w:themeColor="text1"/>
        </w:rPr>
      </w:pPr>
      <w:proofErr w:type="gramStart"/>
      <w:r w:rsidRPr="001B518B">
        <w:rPr>
          <w:rFonts w:ascii="Times New Roman" w:hAnsi="Times New Roman" w:cs="Times New Roman"/>
          <w:color w:val="000000" w:themeColor="text1"/>
        </w:rPr>
        <w:t>In order to</w:t>
      </w:r>
      <w:proofErr w:type="gramEnd"/>
      <w:r w:rsidRPr="001B518B">
        <w:rPr>
          <w:rFonts w:ascii="Times New Roman" w:hAnsi="Times New Roman" w:cs="Times New Roman"/>
          <w:color w:val="000000" w:themeColor="text1"/>
        </w:rPr>
        <w:t xml:space="preserve"> update the status of Division of Workforce Solutions Policy Statements, the Division has prepared a list of Local Area Issuances and Policy Statements to rescind. This list does not include previously rescinded or expired Local Area Issuances and Policy Statements.</w:t>
      </w:r>
    </w:p>
    <w:p w14:paraId="7B98845C" w14:textId="77777777" w:rsidR="001B518B" w:rsidRPr="001B518B" w:rsidRDefault="001B518B" w:rsidP="001B518B">
      <w:pPr>
        <w:tabs>
          <w:tab w:val="left" w:pos="5415"/>
        </w:tabs>
        <w:rPr>
          <w:rFonts w:ascii="Times New Roman" w:hAnsi="Times New Roman" w:cs="Times New Roman"/>
          <w:color w:val="000000" w:themeColor="text1"/>
        </w:rPr>
      </w:pPr>
      <w:r w:rsidRPr="001B518B">
        <w:rPr>
          <w:rFonts w:ascii="Times New Roman" w:hAnsi="Times New Roman" w:cs="Times New Roman"/>
          <w:color w:val="000000" w:themeColor="text1"/>
        </w:rPr>
        <w:t>The Local Area Issuances and Policy Statements provided as an Attachment are rescinded and will be noted as such on the North Carolina Department of Commerce website.</w:t>
      </w:r>
    </w:p>
    <w:p w14:paraId="06F2B146" w14:textId="0E50F038" w:rsidR="007726AA" w:rsidRPr="001B518B" w:rsidRDefault="001B518B" w:rsidP="001B518B">
      <w:pPr>
        <w:tabs>
          <w:tab w:val="left" w:pos="5415"/>
        </w:tabs>
        <w:rPr>
          <w:rFonts w:ascii="Times New Roman" w:hAnsi="Times New Roman" w:cs="Times New Roman"/>
          <w:color w:val="000000" w:themeColor="text1"/>
        </w:rPr>
      </w:pPr>
      <w:r w:rsidRPr="001B518B">
        <w:rPr>
          <w:rFonts w:ascii="Times New Roman" w:hAnsi="Times New Roman" w:cs="Times New Roman"/>
          <w:color w:val="000000" w:themeColor="text1"/>
        </w:rPr>
        <w:t>Local Workforce Development Areas should share this information as appropriate.</w:t>
      </w:r>
      <w:r w:rsidR="003C0E54" w:rsidRPr="001B518B">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1BBDE9DD" w:rsidR="00D90DFB" w:rsidRPr="00661047" w:rsidRDefault="001B518B" w:rsidP="00D90DFB">
      <w:pPr>
        <w:rPr>
          <w:rFonts w:ascii="Times New Roman" w:hAnsi="Times New Roman" w:cs="Times New Roman"/>
          <w:color w:val="000000" w:themeColor="text1"/>
        </w:rPr>
      </w:pPr>
      <w:r>
        <w:rPr>
          <w:rFonts w:ascii="Times New Roman" w:hAnsi="Times New Roman" w:cs="Times New Roman"/>
          <w:color w:val="000000" w:themeColor="text1"/>
        </w:rPr>
        <w:t>Division 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3CBFD116" w14:textId="77777777" w:rsidR="001B518B" w:rsidRPr="001B518B" w:rsidRDefault="001B518B" w:rsidP="001B518B">
      <w:pPr>
        <w:rPr>
          <w:rFonts w:ascii="Times New Roman" w:hAnsi="Times New Roman" w:cs="Times New Roman"/>
        </w:rPr>
      </w:pPr>
      <w:r w:rsidRPr="001B518B">
        <w:rPr>
          <w:rFonts w:ascii="Times New Roman" w:hAnsi="Times New Roman" w:cs="Times New Roman"/>
        </w:rPr>
        <w:t>List of Rescinded WIA Issuances and Policy Statements</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1167B87"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68DE5C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F3BB83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1B518B"/>
    <w:rsid w:val="003C0E54"/>
    <w:rsid w:val="003D62B7"/>
    <w:rsid w:val="00496A34"/>
    <w:rsid w:val="004A54AB"/>
    <w:rsid w:val="004E411A"/>
    <w:rsid w:val="0050440D"/>
    <w:rsid w:val="00661047"/>
    <w:rsid w:val="006662FB"/>
    <w:rsid w:val="006E07B4"/>
    <w:rsid w:val="007726AA"/>
    <w:rsid w:val="007F3066"/>
    <w:rsid w:val="007F7DA6"/>
    <w:rsid w:val="0088650E"/>
    <w:rsid w:val="00A15697"/>
    <w:rsid w:val="00B139B9"/>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2026-05-12T16:08:00Z</dcterms:modified>
</cp:coreProperties>
</file>