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83F25" w14:textId="77777777" w:rsidR="004F23DE" w:rsidRDefault="004F23DE">
      <w:pPr>
        <w:pStyle w:val="BodyText"/>
        <w:rPr>
          <w:sz w:val="52"/>
        </w:rPr>
      </w:pPr>
    </w:p>
    <w:p w14:paraId="7E0B19AC" w14:textId="77777777" w:rsidR="004F23DE" w:rsidRDefault="004F23DE">
      <w:pPr>
        <w:pStyle w:val="BodyText"/>
        <w:rPr>
          <w:sz w:val="52"/>
        </w:rPr>
      </w:pPr>
    </w:p>
    <w:p w14:paraId="0AE4D446" w14:textId="77777777" w:rsidR="004F23DE" w:rsidRDefault="004F23DE">
      <w:pPr>
        <w:pStyle w:val="BodyText"/>
        <w:rPr>
          <w:sz w:val="52"/>
        </w:rPr>
      </w:pPr>
    </w:p>
    <w:p w14:paraId="07B02D6B" w14:textId="77777777" w:rsidR="004F23DE" w:rsidRDefault="004F23DE">
      <w:pPr>
        <w:pStyle w:val="BodyText"/>
        <w:spacing w:before="83"/>
        <w:rPr>
          <w:sz w:val="52"/>
        </w:rPr>
      </w:pPr>
    </w:p>
    <w:p w14:paraId="0CCB06E4" w14:textId="77777777" w:rsidR="004F23DE" w:rsidRDefault="005D2875">
      <w:pPr>
        <w:pStyle w:val="Heading1"/>
      </w:pPr>
      <w:r>
        <w:t>NC Department of Commerce Division</w:t>
      </w:r>
      <w:r>
        <w:rPr>
          <w:spacing w:val="-5"/>
        </w:rPr>
        <w:t xml:space="preserve"> </w:t>
      </w:r>
      <w:r>
        <w:t>of</w:t>
      </w:r>
      <w:r>
        <w:rPr>
          <w:spacing w:val="-3"/>
        </w:rPr>
        <w:t xml:space="preserve"> </w:t>
      </w:r>
      <w:r>
        <w:t>Workforce</w:t>
      </w:r>
      <w:r>
        <w:rPr>
          <w:spacing w:val="-2"/>
        </w:rPr>
        <w:t xml:space="preserve"> Solutions</w:t>
      </w:r>
    </w:p>
    <w:p w14:paraId="63D401F6" w14:textId="77777777" w:rsidR="004F23DE" w:rsidRDefault="004F23DE">
      <w:pPr>
        <w:pStyle w:val="BodyText"/>
        <w:spacing w:before="504"/>
        <w:rPr>
          <w:b/>
          <w:sz w:val="52"/>
        </w:rPr>
      </w:pPr>
    </w:p>
    <w:p w14:paraId="575C2FDB" w14:textId="77777777" w:rsidR="004F23DE" w:rsidRDefault="005D2875">
      <w:pPr>
        <w:pStyle w:val="Heading2"/>
      </w:pPr>
      <w:r>
        <w:t>American Rescue Plan Act (ARPA) Business</w:t>
      </w:r>
      <w:r>
        <w:rPr>
          <w:spacing w:val="-12"/>
        </w:rPr>
        <w:t xml:space="preserve"> </w:t>
      </w:r>
      <w:r>
        <w:t>Work-Based</w:t>
      </w:r>
      <w:r>
        <w:rPr>
          <w:spacing w:val="-15"/>
        </w:rPr>
        <w:t xml:space="preserve"> </w:t>
      </w:r>
      <w:r>
        <w:t>Learning</w:t>
      </w:r>
      <w:r>
        <w:rPr>
          <w:spacing w:val="-12"/>
        </w:rPr>
        <w:t xml:space="preserve"> </w:t>
      </w:r>
      <w:r>
        <w:t>(BWBL) Grant Guidelines</w:t>
      </w:r>
    </w:p>
    <w:p w14:paraId="06A4B735" w14:textId="77777777" w:rsidR="004F23DE" w:rsidRDefault="004F23DE">
      <w:pPr>
        <w:pStyle w:val="Heading2"/>
        <w:sectPr w:rsidR="004F23DE">
          <w:headerReference w:type="even" r:id="rId6"/>
          <w:headerReference w:type="default" r:id="rId7"/>
          <w:footerReference w:type="even" r:id="rId8"/>
          <w:footerReference w:type="default" r:id="rId9"/>
          <w:headerReference w:type="first" r:id="rId10"/>
          <w:footerReference w:type="first" r:id="rId11"/>
          <w:type w:val="continuous"/>
          <w:pgSz w:w="12240" w:h="15840"/>
          <w:pgMar w:top="1820" w:right="1080" w:bottom="280" w:left="1080" w:header="720" w:footer="720" w:gutter="0"/>
          <w:cols w:space="720"/>
        </w:sectPr>
      </w:pPr>
    </w:p>
    <w:p w14:paraId="78152D24" w14:textId="77777777" w:rsidR="004F23DE" w:rsidRDefault="005D2875">
      <w:pPr>
        <w:pStyle w:val="Heading3"/>
      </w:pPr>
      <w:r>
        <w:rPr>
          <w:spacing w:val="-2"/>
        </w:rPr>
        <w:lastRenderedPageBreak/>
        <w:t>Introduction</w:t>
      </w:r>
    </w:p>
    <w:p w14:paraId="5F71A374" w14:textId="77777777" w:rsidR="004F23DE" w:rsidRDefault="005D2875" w:rsidP="005D2875">
      <w:pPr>
        <w:pStyle w:val="BodyText"/>
        <w:spacing w:before="270"/>
        <w:ind w:left="360" w:right="353"/>
      </w:pPr>
      <w:r>
        <w:t>The American Rescue Plan Act (ARPA) was enacted on March 11, 2021, to provide relief to address the continued impact of COVID-19 on the economy, public health, state and local governments,</w:t>
      </w:r>
      <w:r>
        <w:rPr>
          <w:spacing w:val="-11"/>
        </w:rPr>
        <w:t xml:space="preserve"> </w:t>
      </w:r>
      <w:r>
        <w:t>individuals,</w:t>
      </w:r>
      <w:r>
        <w:rPr>
          <w:spacing w:val="-11"/>
        </w:rPr>
        <w:t xml:space="preserve"> </w:t>
      </w:r>
      <w:r>
        <w:t>and</w:t>
      </w:r>
      <w:r>
        <w:rPr>
          <w:spacing w:val="-12"/>
        </w:rPr>
        <w:t xml:space="preserve"> </w:t>
      </w:r>
      <w:r>
        <w:t>businesses.</w:t>
      </w:r>
      <w:r>
        <w:rPr>
          <w:spacing w:val="-10"/>
        </w:rPr>
        <w:t xml:space="preserve"> </w:t>
      </w:r>
      <w:r>
        <w:t>The</w:t>
      </w:r>
      <w:r>
        <w:rPr>
          <w:spacing w:val="-13"/>
        </w:rPr>
        <w:t xml:space="preserve"> </w:t>
      </w:r>
      <w:r>
        <w:t>State</w:t>
      </w:r>
      <w:r>
        <w:rPr>
          <w:spacing w:val="-13"/>
        </w:rPr>
        <w:t xml:space="preserve"> </w:t>
      </w:r>
      <w:r>
        <w:t>Fiscal</w:t>
      </w:r>
      <w:r>
        <w:rPr>
          <w:spacing w:val="-11"/>
        </w:rPr>
        <w:t xml:space="preserve"> </w:t>
      </w:r>
      <w:r>
        <w:t>Recovery</w:t>
      </w:r>
      <w:r>
        <w:rPr>
          <w:spacing w:val="-15"/>
        </w:rPr>
        <w:t xml:space="preserve"> </w:t>
      </w:r>
      <w:r>
        <w:t>Fund</w:t>
      </w:r>
      <w:r>
        <w:rPr>
          <w:spacing w:val="-12"/>
        </w:rPr>
        <w:t xml:space="preserve"> </w:t>
      </w:r>
      <w:r>
        <w:t>(SFRF)</w:t>
      </w:r>
      <w:r>
        <w:rPr>
          <w:spacing w:val="-10"/>
        </w:rPr>
        <w:t xml:space="preserve"> </w:t>
      </w:r>
      <w:r>
        <w:t>is</w:t>
      </w:r>
      <w:r>
        <w:rPr>
          <w:spacing w:val="-11"/>
        </w:rPr>
        <w:t xml:space="preserve"> </w:t>
      </w:r>
      <w:r>
        <w:t>a</w:t>
      </w:r>
      <w:r>
        <w:rPr>
          <w:spacing w:val="-13"/>
        </w:rPr>
        <w:t xml:space="preserve"> </w:t>
      </w:r>
      <w:r>
        <w:t>component of ARPA, which provides $5.4 billion to North Carolina to help turn the tide on the pandemic, address its economic fallout, and lay the foundation for a strong and equitable recovery.</w:t>
      </w:r>
    </w:p>
    <w:p w14:paraId="25989034" w14:textId="77777777" w:rsidR="004F23DE" w:rsidRDefault="004F23DE" w:rsidP="005D2875">
      <w:pPr>
        <w:pStyle w:val="BodyText"/>
      </w:pPr>
    </w:p>
    <w:p w14:paraId="68E0E66B" w14:textId="77777777" w:rsidR="004F23DE" w:rsidRDefault="005D2875" w:rsidP="005D2875">
      <w:pPr>
        <w:pStyle w:val="BodyText"/>
        <w:ind w:left="360" w:right="357"/>
      </w:pPr>
      <w:r>
        <w:t>The N.C. General Assembly appropriated SFRF in Session Law 2021-180. The N.C. Pandemic Recovery Office (NCPRO) is responsible for overseeing and monitoring the use of the SFRF, as well as reporting to the U.S. Treasury on behalf of state agencies.</w:t>
      </w:r>
    </w:p>
    <w:p w14:paraId="16F4744F" w14:textId="77777777" w:rsidR="004F23DE" w:rsidRDefault="004F23DE" w:rsidP="005D2875">
      <w:pPr>
        <w:pStyle w:val="BodyText"/>
      </w:pPr>
    </w:p>
    <w:p w14:paraId="3B1EC195" w14:textId="77777777" w:rsidR="004F23DE" w:rsidRDefault="005D2875" w:rsidP="005D2875">
      <w:pPr>
        <w:pStyle w:val="BodyText"/>
        <w:ind w:left="360" w:right="353"/>
      </w:pPr>
      <w:r>
        <w:t>The Division of Workforce Solutions (DWS) has been allocated $2 million in ARPA funds to focus on Work-Based Learning (WBL) opportunities to assist small- and micro-businesses (e.g., businesses</w:t>
      </w:r>
      <w:r>
        <w:rPr>
          <w:spacing w:val="-11"/>
        </w:rPr>
        <w:t xml:space="preserve"> </w:t>
      </w:r>
      <w:r>
        <w:t>with</w:t>
      </w:r>
      <w:r>
        <w:rPr>
          <w:spacing w:val="-10"/>
        </w:rPr>
        <w:t xml:space="preserve"> </w:t>
      </w:r>
      <w:r>
        <w:t>fewer</w:t>
      </w:r>
      <w:r>
        <w:rPr>
          <w:spacing w:val="-11"/>
        </w:rPr>
        <w:t xml:space="preserve"> </w:t>
      </w:r>
      <w:r>
        <w:t>than</w:t>
      </w:r>
      <w:r>
        <w:rPr>
          <w:spacing w:val="-10"/>
        </w:rPr>
        <w:t xml:space="preserve"> </w:t>
      </w:r>
      <w:r>
        <w:t>twenty-five</w:t>
      </w:r>
      <w:r>
        <w:rPr>
          <w:spacing w:val="-11"/>
        </w:rPr>
        <w:t xml:space="preserve"> </w:t>
      </w:r>
      <w:r>
        <w:t>[25]</w:t>
      </w:r>
      <w:r>
        <w:rPr>
          <w:spacing w:val="-9"/>
        </w:rPr>
        <w:t xml:space="preserve"> </w:t>
      </w:r>
      <w:r>
        <w:t>employees),</w:t>
      </w:r>
      <w:r>
        <w:rPr>
          <w:spacing w:val="-11"/>
        </w:rPr>
        <w:t xml:space="preserve"> </w:t>
      </w:r>
      <w:r>
        <w:t>as</w:t>
      </w:r>
      <w:r>
        <w:rPr>
          <w:spacing w:val="-10"/>
        </w:rPr>
        <w:t xml:space="preserve"> </w:t>
      </w:r>
      <w:r>
        <w:t>well</w:t>
      </w:r>
      <w:r>
        <w:rPr>
          <w:spacing w:val="-10"/>
        </w:rPr>
        <w:t xml:space="preserve"> </w:t>
      </w:r>
      <w:r>
        <w:t>as</w:t>
      </w:r>
      <w:r>
        <w:rPr>
          <w:spacing w:val="-10"/>
        </w:rPr>
        <w:t xml:space="preserve"> </w:t>
      </w:r>
      <w:r>
        <w:t>expand</w:t>
      </w:r>
      <w:r>
        <w:rPr>
          <w:spacing w:val="-11"/>
        </w:rPr>
        <w:t xml:space="preserve"> </w:t>
      </w:r>
      <w:r>
        <w:t>funding</w:t>
      </w:r>
      <w:r>
        <w:rPr>
          <w:spacing w:val="-13"/>
        </w:rPr>
        <w:t xml:space="preserve"> </w:t>
      </w:r>
      <w:r>
        <w:t>for</w:t>
      </w:r>
      <w:r>
        <w:rPr>
          <w:spacing w:val="-12"/>
        </w:rPr>
        <w:t xml:space="preserve"> </w:t>
      </w:r>
      <w:r>
        <w:t>On-the-Job Training (OJT), Work Experience (WEX), Incumbent Worker Training (IWT), or short-term training that leads to an industry recognized certification or credential. These programs are in keeping</w:t>
      </w:r>
      <w:r>
        <w:rPr>
          <w:spacing w:val="-10"/>
        </w:rPr>
        <w:t xml:space="preserve"> </w:t>
      </w:r>
      <w:r>
        <w:t>with</w:t>
      </w:r>
      <w:r>
        <w:rPr>
          <w:spacing w:val="-7"/>
        </w:rPr>
        <w:t xml:space="preserve"> </w:t>
      </w:r>
      <w:r>
        <w:t>the</w:t>
      </w:r>
      <w:r>
        <w:rPr>
          <w:spacing w:val="-6"/>
        </w:rPr>
        <w:t xml:space="preserve"> </w:t>
      </w:r>
      <w:r>
        <w:t>spirit</w:t>
      </w:r>
      <w:r>
        <w:rPr>
          <w:spacing w:val="-7"/>
        </w:rPr>
        <w:t xml:space="preserve"> </w:t>
      </w:r>
      <w:r>
        <w:t>of</w:t>
      </w:r>
      <w:r>
        <w:rPr>
          <w:spacing w:val="-6"/>
        </w:rPr>
        <w:t xml:space="preserve"> </w:t>
      </w:r>
      <w:r>
        <w:t>both</w:t>
      </w:r>
      <w:r>
        <w:rPr>
          <w:spacing w:val="-7"/>
        </w:rPr>
        <w:t xml:space="preserve"> </w:t>
      </w:r>
      <w:r>
        <w:t>North</w:t>
      </w:r>
      <w:r>
        <w:rPr>
          <w:spacing w:val="-7"/>
        </w:rPr>
        <w:t xml:space="preserve"> </w:t>
      </w:r>
      <w:r>
        <w:t>Carolina’s</w:t>
      </w:r>
      <w:r>
        <w:rPr>
          <w:spacing w:val="-6"/>
        </w:rPr>
        <w:t xml:space="preserve"> </w:t>
      </w:r>
      <w:r>
        <w:t>“First</w:t>
      </w:r>
      <w:r>
        <w:rPr>
          <w:spacing w:val="-7"/>
        </w:rPr>
        <w:t xml:space="preserve"> </w:t>
      </w:r>
      <w:r>
        <w:t>in</w:t>
      </w:r>
      <w:r>
        <w:rPr>
          <w:spacing w:val="-7"/>
        </w:rPr>
        <w:t xml:space="preserve"> </w:t>
      </w:r>
      <w:r>
        <w:t>Talent”</w:t>
      </w:r>
      <w:r>
        <w:rPr>
          <w:spacing w:val="-6"/>
        </w:rPr>
        <w:t xml:space="preserve"> </w:t>
      </w:r>
      <w:r>
        <w:t>Plan</w:t>
      </w:r>
      <w:r>
        <w:rPr>
          <w:spacing w:val="-6"/>
        </w:rPr>
        <w:t xml:space="preserve"> </w:t>
      </w:r>
      <w:r>
        <w:t>and</w:t>
      </w:r>
      <w:r>
        <w:rPr>
          <w:spacing w:val="-5"/>
        </w:rPr>
        <w:t xml:space="preserve"> </w:t>
      </w:r>
      <w:r>
        <w:t>Governor</w:t>
      </w:r>
      <w:r>
        <w:rPr>
          <w:spacing w:val="-9"/>
        </w:rPr>
        <w:t xml:space="preserve"> </w:t>
      </w:r>
      <w:r>
        <w:t>Cooper’s</w:t>
      </w:r>
      <w:r>
        <w:rPr>
          <w:spacing w:val="-5"/>
        </w:rPr>
        <w:t xml:space="preserve"> </w:t>
      </w:r>
      <w:r>
        <w:t>NC Job Ready initiative.</w:t>
      </w:r>
    </w:p>
    <w:p w14:paraId="25F54487" w14:textId="77777777" w:rsidR="004F23DE" w:rsidRDefault="004F23DE" w:rsidP="005D2875">
      <w:pPr>
        <w:pStyle w:val="BodyText"/>
      </w:pPr>
    </w:p>
    <w:p w14:paraId="4D52A8E3" w14:textId="77777777" w:rsidR="004F23DE" w:rsidRDefault="005D2875" w:rsidP="005D2875">
      <w:pPr>
        <w:pStyle w:val="BodyText"/>
        <w:spacing w:before="1"/>
        <w:ind w:left="360" w:right="357"/>
      </w:pPr>
      <w:r>
        <w:t>Each grant provides DWS an opportunity</w:t>
      </w:r>
      <w:r>
        <w:rPr>
          <w:spacing w:val="-3"/>
        </w:rPr>
        <w:t xml:space="preserve"> </w:t>
      </w:r>
      <w:r>
        <w:t xml:space="preserve">to engage with new partners or provide innovative and enhanced services that are not easily administered through current Workforce Innovation and Opportunity Act (WIOA) guidelines. </w:t>
      </w:r>
      <w:r>
        <w:rPr>
          <w:color w:val="211F1F"/>
        </w:rPr>
        <w:t>Local Workforce Development Boards (WDBs) are not eligible</w:t>
      </w:r>
      <w:r>
        <w:rPr>
          <w:color w:val="211F1F"/>
          <w:spacing w:val="-4"/>
        </w:rPr>
        <w:t xml:space="preserve"> </w:t>
      </w:r>
      <w:r>
        <w:rPr>
          <w:color w:val="211F1F"/>
        </w:rPr>
        <w:t>for</w:t>
      </w:r>
      <w:r>
        <w:rPr>
          <w:color w:val="211F1F"/>
          <w:spacing w:val="-5"/>
        </w:rPr>
        <w:t xml:space="preserve"> </w:t>
      </w:r>
      <w:r>
        <w:rPr>
          <w:color w:val="211F1F"/>
        </w:rPr>
        <w:t>this</w:t>
      </w:r>
      <w:r>
        <w:rPr>
          <w:color w:val="211F1F"/>
          <w:spacing w:val="-4"/>
        </w:rPr>
        <w:t xml:space="preserve"> </w:t>
      </w:r>
      <w:r>
        <w:rPr>
          <w:color w:val="211F1F"/>
        </w:rPr>
        <w:t>grant.</w:t>
      </w:r>
      <w:r>
        <w:rPr>
          <w:color w:val="211F1F"/>
          <w:spacing w:val="40"/>
        </w:rPr>
        <w:t xml:space="preserve"> </w:t>
      </w:r>
      <w:r>
        <w:t>The</w:t>
      </w:r>
      <w:r>
        <w:rPr>
          <w:spacing w:val="-5"/>
        </w:rPr>
        <w:t xml:space="preserve"> </w:t>
      </w:r>
      <w:r>
        <w:t>grants</w:t>
      </w:r>
      <w:r>
        <w:rPr>
          <w:spacing w:val="-4"/>
        </w:rPr>
        <w:t xml:space="preserve"> </w:t>
      </w:r>
      <w:r>
        <w:t>are</w:t>
      </w:r>
      <w:r>
        <w:rPr>
          <w:spacing w:val="-4"/>
        </w:rPr>
        <w:t xml:space="preserve"> </w:t>
      </w:r>
      <w:r>
        <w:t>available</w:t>
      </w:r>
      <w:r>
        <w:rPr>
          <w:spacing w:val="-4"/>
        </w:rPr>
        <w:t xml:space="preserve"> </w:t>
      </w:r>
      <w:r>
        <w:t>to</w:t>
      </w:r>
      <w:r>
        <w:rPr>
          <w:spacing w:val="-3"/>
        </w:rPr>
        <w:t xml:space="preserve"> </w:t>
      </w:r>
      <w:r>
        <w:t>non-profits</w:t>
      </w:r>
      <w:r>
        <w:rPr>
          <w:spacing w:val="-4"/>
        </w:rPr>
        <w:t xml:space="preserve"> </w:t>
      </w:r>
      <w:r>
        <w:t>and</w:t>
      </w:r>
      <w:r>
        <w:rPr>
          <w:spacing w:val="-4"/>
        </w:rPr>
        <w:t xml:space="preserve"> </w:t>
      </w:r>
      <w:r>
        <w:t>state</w:t>
      </w:r>
      <w:r>
        <w:rPr>
          <w:spacing w:val="-4"/>
        </w:rPr>
        <w:t xml:space="preserve"> </w:t>
      </w:r>
      <w:r>
        <w:t>agencies</w:t>
      </w:r>
      <w:r>
        <w:rPr>
          <w:spacing w:val="-3"/>
        </w:rPr>
        <w:t xml:space="preserve"> </w:t>
      </w:r>
      <w:r>
        <w:t>during</w:t>
      </w:r>
      <w:r>
        <w:rPr>
          <w:spacing w:val="-6"/>
        </w:rPr>
        <w:t xml:space="preserve"> </w:t>
      </w:r>
      <w:r>
        <w:t>the</w:t>
      </w:r>
      <w:r>
        <w:rPr>
          <w:spacing w:val="-4"/>
        </w:rPr>
        <w:t xml:space="preserve"> </w:t>
      </w:r>
      <w:r>
        <w:t>period of February 13, 2023 through September 30, 2024.</w:t>
      </w:r>
    </w:p>
    <w:p w14:paraId="7725EEFE" w14:textId="77777777" w:rsidR="004F23DE" w:rsidRDefault="004F23DE">
      <w:pPr>
        <w:pStyle w:val="BodyText"/>
      </w:pPr>
    </w:p>
    <w:p w14:paraId="054E8103" w14:textId="77777777" w:rsidR="004F23DE" w:rsidRDefault="005D2875" w:rsidP="005D2875">
      <w:pPr>
        <w:pStyle w:val="BodyText"/>
        <w:ind w:left="360" w:right="353"/>
      </w:pPr>
      <w:r>
        <w:t>These additional resources will have a positive impact on jobseekers and small businesses, particularly in underserved communities.</w:t>
      </w:r>
    </w:p>
    <w:p w14:paraId="2FB7F196" w14:textId="77777777" w:rsidR="004F23DE" w:rsidRDefault="004F23DE" w:rsidP="005D2875">
      <w:pPr>
        <w:pStyle w:val="BodyText"/>
      </w:pPr>
    </w:p>
    <w:p w14:paraId="3EBBC263" w14:textId="77777777" w:rsidR="004F23DE" w:rsidRDefault="004F23DE" w:rsidP="005D2875">
      <w:pPr>
        <w:pStyle w:val="BodyText"/>
      </w:pPr>
    </w:p>
    <w:p w14:paraId="441D20F6" w14:textId="77777777" w:rsidR="004F23DE" w:rsidRDefault="005D2875" w:rsidP="005D2875">
      <w:pPr>
        <w:pStyle w:val="Heading4"/>
        <w:spacing w:line="240" w:lineRule="auto"/>
        <w:jc w:val="left"/>
        <w:rPr>
          <w:b w:val="0"/>
        </w:rPr>
      </w:pPr>
      <w:r>
        <w:t>Business</w:t>
      </w:r>
      <w:r>
        <w:rPr>
          <w:spacing w:val="-2"/>
        </w:rPr>
        <w:t xml:space="preserve"> </w:t>
      </w:r>
      <w:r>
        <w:t>Work-Based</w:t>
      </w:r>
      <w:r>
        <w:rPr>
          <w:spacing w:val="-1"/>
        </w:rPr>
        <w:t xml:space="preserve"> </w:t>
      </w:r>
      <w:r>
        <w:t>Learning</w:t>
      </w:r>
      <w:r>
        <w:rPr>
          <w:spacing w:val="-1"/>
        </w:rPr>
        <w:t xml:space="preserve"> </w:t>
      </w:r>
      <w:r>
        <w:rPr>
          <w:spacing w:val="-2"/>
        </w:rPr>
        <w:t>Grant</w:t>
      </w:r>
      <w:r>
        <w:rPr>
          <w:b w:val="0"/>
          <w:spacing w:val="-2"/>
        </w:rPr>
        <w:t>:</w:t>
      </w:r>
    </w:p>
    <w:p w14:paraId="2C8664C5" w14:textId="77777777" w:rsidR="004F23DE" w:rsidRDefault="005D2875" w:rsidP="005D2875">
      <w:pPr>
        <w:pStyle w:val="BodyText"/>
        <w:ind w:left="360" w:right="355"/>
      </w:pPr>
      <w:r>
        <w:t>The goal of this grant initiative is to establish WBL opportunities targeting small- and micro-businesses (e.g., businesses with fewer than twenty-five [25] employees) to bridge the gap for business</w:t>
      </w:r>
      <w:r>
        <w:rPr>
          <w:spacing w:val="-5"/>
        </w:rPr>
        <w:t xml:space="preserve"> </w:t>
      </w:r>
      <w:r>
        <w:t>retention</w:t>
      </w:r>
      <w:r>
        <w:rPr>
          <w:spacing w:val="-5"/>
        </w:rPr>
        <w:t xml:space="preserve"> </w:t>
      </w:r>
      <w:r>
        <w:t>and</w:t>
      </w:r>
      <w:r>
        <w:rPr>
          <w:spacing w:val="-6"/>
        </w:rPr>
        <w:t xml:space="preserve"> </w:t>
      </w:r>
      <w:r>
        <w:t>expansion</w:t>
      </w:r>
      <w:r>
        <w:rPr>
          <w:spacing w:val="-5"/>
        </w:rPr>
        <w:t xml:space="preserve"> </w:t>
      </w:r>
      <w:r>
        <w:t>with</w:t>
      </w:r>
      <w:r>
        <w:rPr>
          <w:spacing w:val="-5"/>
        </w:rPr>
        <w:t xml:space="preserve"> </w:t>
      </w:r>
      <w:r>
        <w:t>funding</w:t>
      </w:r>
      <w:r>
        <w:rPr>
          <w:spacing w:val="-6"/>
        </w:rPr>
        <w:t xml:space="preserve"> </w:t>
      </w:r>
      <w:r>
        <w:t>for</w:t>
      </w:r>
      <w:r>
        <w:rPr>
          <w:spacing w:val="-5"/>
        </w:rPr>
        <w:t xml:space="preserve"> </w:t>
      </w:r>
      <w:r>
        <w:t>OJT,</w:t>
      </w:r>
      <w:r>
        <w:rPr>
          <w:spacing w:val="-6"/>
        </w:rPr>
        <w:t xml:space="preserve"> </w:t>
      </w:r>
      <w:r>
        <w:t>WEX,</w:t>
      </w:r>
      <w:r>
        <w:rPr>
          <w:spacing w:val="-6"/>
        </w:rPr>
        <w:t xml:space="preserve"> </w:t>
      </w:r>
      <w:r>
        <w:t>and</w:t>
      </w:r>
      <w:r>
        <w:rPr>
          <w:spacing w:val="-3"/>
        </w:rPr>
        <w:t xml:space="preserve"> </w:t>
      </w:r>
      <w:r>
        <w:t>IWT.</w:t>
      </w:r>
      <w:r>
        <w:rPr>
          <w:spacing w:val="-6"/>
        </w:rPr>
        <w:t xml:space="preserve"> </w:t>
      </w:r>
      <w:r>
        <w:t>This</w:t>
      </w:r>
      <w:r>
        <w:rPr>
          <w:spacing w:val="-5"/>
        </w:rPr>
        <w:t xml:space="preserve"> </w:t>
      </w:r>
      <w:r>
        <w:t>initiative</w:t>
      </w:r>
      <w:r>
        <w:rPr>
          <w:spacing w:val="-7"/>
        </w:rPr>
        <w:t xml:space="preserve"> </w:t>
      </w:r>
      <w:r>
        <w:t>will</w:t>
      </w:r>
      <w:r>
        <w:rPr>
          <w:spacing w:val="-5"/>
        </w:rPr>
        <w:t xml:space="preserve"> </w:t>
      </w:r>
      <w:r>
        <w:t>focus on Historically Underutilized Business (HUB), industries most impacted by the pandemic, including manufacturing and hospitality, priority industries with substantial occupational skills gaps, and other risk indicators.</w:t>
      </w:r>
    </w:p>
    <w:p w14:paraId="3AD4A685" w14:textId="77777777" w:rsidR="004F23DE" w:rsidRDefault="004F23DE" w:rsidP="005D2875">
      <w:pPr>
        <w:pStyle w:val="BodyText"/>
        <w:spacing w:before="1"/>
      </w:pPr>
    </w:p>
    <w:p w14:paraId="0B0504B3" w14:textId="77777777" w:rsidR="004F23DE" w:rsidRDefault="005D2875" w:rsidP="005D2875">
      <w:pPr>
        <w:pStyle w:val="BodyText"/>
        <w:ind w:left="360" w:right="359"/>
      </w:pPr>
      <w:r>
        <w:t>In</w:t>
      </w:r>
      <w:r>
        <w:rPr>
          <w:spacing w:val="-1"/>
        </w:rPr>
        <w:t xml:space="preserve"> </w:t>
      </w:r>
      <w:r>
        <w:t>addition</w:t>
      </w:r>
      <w:r>
        <w:rPr>
          <w:spacing w:val="-3"/>
        </w:rPr>
        <w:t xml:space="preserve"> </w:t>
      </w:r>
      <w:r>
        <w:t>to</w:t>
      </w:r>
      <w:r>
        <w:rPr>
          <w:spacing w:val="-3"/>
        </w:rPr>
        <w:t xml:space="preserve"> </w:t>
      </w:r>
      <w:r>
        <w:t>HUBs</w:t>
      </w:r>
      <w:r>
        <w:rPr>
          <w:spacing w:val="-1"/>
        </w:rPr>
        <w:t xml:space="preserve"> </w:t>
      </w:r>
      <w:r>
        <w:t>and</w:t>
      </w:r>
      <w:r>
        <w:rPr>
          <w:spacing w:val="-1"/>
        </w:rPr>
        <w:t xml:space="preserve"> </w:t>
      </w:r>
      <w:r>
        <w:t>industries</w:t>
      </w:r>
      <w:r>
        <w:rPr>
          <w:spacing w:val="-3"/>
        </w:rPr>
        <w:t xml:space="preserve"> </w:t>
      </w:r>
      <w:r>
        <w:t>significantly</w:t>
      </w:r>
      <w:r>
        <w:rPr>
          <w:spacing w:val="-8"/>
        </w:rPr>
        <w:t xml:space="preserve"> </w:t>
      </w:r>
      <w:r>
        <w:t>impacted</w:t>
      </w:r>
      <w:r>
        <w:rPr>
          <w:spacing w:val="-3"/>
        </w:rPr>
        <w:t xml:space="preserve"> </w:t>
      </w:r>
      <w:r>
        <w:t>by</w:t>
      </w:r>
      <w:r>
        <w:rPr>
          <w:spacing w:val="-8"/>
        </w:rPr>
        <w:t xml:space="preserve"> </w:t>
      </w:r>
      <w:r>
        <w:t>the</w:t>
      </w:r>
      <w:r>
        <w:rPr>
          <w:spacing w:val="-3"/>
        </w:rPr>
        <w:t xml:space="preserve"> </w:t>
      </w:r>
      <w:r>
        <w:t>pandemic,</w:t>
      </w:r>
      <w:r>
        <w:rPr>
          <w:spacing w:val="-3"/>
        </w:rPr>
        <w:t xml:space="preserve"> </w:t>
      </w:r>
      <w:r>
        <w:t>emphasis</w:t>
      </w:r>
      <w:r>
        <w:rPr>
          <w:spacing w:val="-3"/>
        </w:rPr>
        <w:t xml:space="preserve"> </w:t>
      </w:r>
      <w:r>
        <w:t>should</w:t>
      </w:r>
      <w:r>
        <w:rPr>
          <w:spacing w:val="-3"/>
        </w:rPr>
        <w:t xml:space="preserve"> </w:t>
      </w:r>
      <w:r>
        <w:t>also be placed on non-profits and state agencies located in economically distressed Tier 1 or Tier 2 counties. This funding will also assist with marketing and technology expenses to develop and maintain the training platform and to market and promote the trainings.</w:t>
      </w:r>
    </w:p>
    <w:p w14:paraId="5A920C56" w14:textId="77777777" w:rsidR="004F23DE" w:rsidRDefault="004F23DE">
      <w:pPr>
        <w:pStyle w:val="BodyText"/>
        <w:jc w:val="both"/>
        <w:sectPr w:rsidR="004F23DE">
          <w:headerReference w:type="even" r:id="rId12"/>
          <w:headerReference w:type="default" r:id="rId13"/>
          <w:footerReference w:type="default" r:id="rId14"/>
          <w:headerReference w:type="first" r:id="rId15"/>
          <w:pgSz w:w="12240" w:h="15840"/>
          <w:pgMar w:top="1360" w:right="1080" w:bottom="1260" w:left="1080" w:header="0" w:footer="1069" w:gutter="0"/>
          <w:pgNumType w:start="2"/>
          <w:cols w:space="720"/>
        </w:sectPr>
      </w:pPr>
    </w:p>
    <w:p w14:paraId="2FF019C2" w14:textId="77777777" w:rsidR="004F23DE" w:rsidRDefault="005D2875">
      <w:pPr>
        <w:pStyle w:val="Heading4"/>
        <w:spacing w:before="76"/>
      </w:pPr>
      <w:r>
        <w:lastRenderedPageBreak/>
        <w:t>Work-Based</w:t>
      </w:r>
      <w:r>
        <w:rPr>
          <w:spacing w:val="-5"/>
        </w:rPr>
        <w:t xml:space="preserve"> </w:t>
      </w:r>
      <w:r>
        <w:t>Learning</w:t>
      </w:r>
      <w:r>
        <w:rPr>
          <w:spacing w:val="-5"/>
        </w:rPr>
        <w:t xml:space="preserve"> </w:t>
      </w:r>
      <w:r>
        <w:t>Activities and</w:t>
      </w:r>
      <w:r>
        <w:rPr>
          <w:spacing w:val="-2"/>
        </w:rPr>
        <w:t xml:space="preserve"> </w:t>
      </w:r>
      <w:r>
        <w:t>Supportive</w:t>
      </w:r>
      <w:r>
        <w:rPr>
          <w:spacing w:val="-3"/>
        </w:rPr>
        <w:t xml:space="preserve"> </w:t>
      </w:r>
      <w:r>
        <w:rPr>
          <w:spacing w:val="-2"/>
        </w:rPr>
        <w:t>Services:</w:t>
      </w:r>
    </w:p>
    <w:p w14:paraId="2918EB23" w14:textId="77777777" w:rsidR="004F23DE" w:rsidRDefault="005D2875" w:rsidP="005D2875">
      <w:pPr>
        <w:pStyle w:val="BodyText"/>
        <w:ind w:left="360" w:right="351"/>
      </w:pPr>
      <w:r>
        <w:t>On-the-Job</w:t>
      </w:r>
      <w:r>
        <w:rPr>
          <w:spacing w:val="-5"/>
        </w:rPr>
        <w:t xml:space="preserve"> </w:t>
      </w:r>
      <w:r>
        <w:t>Training</w:t>
      </w:r>
      <w:r>
        <w:rPr>
          <w:spacing w:val="-6"/>
        </w:rPr>
        <w:t xml:space="preserve"> </w:t>
      </w:r>
      <w:r>
        <w:t>(OJT)</w:t>
      </w:r>
      <w:r>
        <w:rPr>
          <w:spacing w:val="-6"/>
        </w:rPr>
        <w:t xml:space="preserve"> </w:t>
      </w:r>
      <w:r>
        <w:t>provides</w:t>
      </w:r>
      <w:r>
        <w:rPr>
          <w:spacing w:val="-2"/>
        </w:rPr>
        <w:t xml:space="preserve"> </w:t>
      </w:r>
      <w:r>
        <w:t>an</w:t>
      </w:r>
      <w:r>
        <w:rPr>
          <w:spacing w:val="-5"/>
        </w:rPr>
        <w:t xml:space="preserve"> </w:t>
      </w:r>
      <w:r>
        <w:t>opportunity</w:t>
      </w:r>
      <w:r>
        <w:rPr>
          <w:spacing w:val="-7"/>
        </w:rPr>
        <w:t xml:space="preserve"> </w:t>
      </w:r>
      <w:r>
        <w:t>for</w:t>
      </w:r>
      <w:r>
        <w:rPr>
          <w:spacing w:val="-6"/>
        </w:rPr>
        <w:t xml:space="preserve"> </w:t>
      </w:r>
      <w:r>
        <w:t>the</w:t>
      </w:r>
      <w:r>
        <w:rPr>
          <w:spacing w:val="-3"/>
        </w:rPr>
        <w:t xml:space="preserve"> </w:t>
      </w:r>
      <w:r>
        <w:t>business</w:t>
      </w:r>
      <w:r>
        <w:rPr>
          <w:spacing w:val="-4"/>
        </w:rPr>
        <w:t xml:space="preserve"> </w:t>
      </w:r>
      <w:r>
        <w:t>to</w:t>
      </w:r>
      <w:r>
        <w:rPr>
          <w:spacing w:val="-4"/>
        </w:rPr>
        <w:t xml:space="preserve"> </w:t>
      </w:r>
      <w:r>
        <w:t>train</w:t>
      </w:r>
      <w:r>
        <w:rPr>
          <w:spacing w:val="-2"/>
        </w:rPr>
        <w:t xml:space="preserve"> </w:t>
      </w:r>
      <w:r>
        <w:t>an</w:t>
      </w:r>
      <w:r>
        <w:rPr>
          <w:spacing w:val="-5"/>
        </w:rPr>
        <w:t xml:space="preserve"> </w:t>
      </w:r>
      <w:r>
        <w:t>individual</w:t>
      </w:r>
      <w:r>
        <w:rPr>
          <w:spacing w:val="-5"/>
        </w:rPr>
        <w:t xml:space="preserve"> </w:t>
      </w:r>
      <w:r>
        <w:t>that</w:t>
      </w:r>
      <w:r>
        <w:rPr>
          <w:spacing w:val="-5"/>
        </w:rPr>
        <w:t xml:space="preserve"> </w:t>
      </w:r>
      <w:r>
        <w:t>has little to no work experience performing an occupation. Small businesses are reimbursed wages paid</w:t>
      </w:r>
      <w:r>
        <w:rPr>
          <w:spacing w:val="-4"/>
        </w:rPr>
        <w:t xml:space="preserve"> </w:t>
      </w:r>
      <w:r>
        <w:t>to</w:t>
      </w:r>
      <w:r>
        <w:rPr>
          <w:spacing w:val="-4"/>
        </w:rPr>
        <w:t xml:space="preserve"> </w:t>
      </w:r>
      <w:r>
        <w:t>the</w:t>
      </w:r>
      <w:r>
        <w:rPr>
          <w:spacing w:val="-5"/>
        </w:rPr>
        <w:t xml:space="preserve"> </w:t>
      </w:r>
      <w:r>
        <w:t>participant</w:t>
      </w:r>
      <w:r>
        <w:rPr>
          <w:spacing w:val="-2"/>
        </w:rPr>
        <w:t xml:space="preserve"> </w:t>
      </w:r>
      <w:r>
        <w:t>at</w:t>
      </w:r>
      <w:r>
        <w:rPr>
          <w:spacing w:val="-2"/>
        </w:rPr>
        <w:t xml:space="preserve"> </w:t>
      </w:r>
      <w:r>
        <w:t>a</w:t>
      </w:r>
      <w:r>
        <w:rPr>
          <w:spacing w:val="-5"/>
        </w:rPr>
        <w:t xml:space="preserve"> </w:t>
      </w:r>
      <w:r>
        <w:t>threshold</w:t>
      </w:r>
      <w:r>
        <w:rPr>
          <w:spacing w:val="-5"/>
        </w:rPr>
        <w:t xml:space="preserve"> </w:t>
      </w:r>
      <w:r>
        <w:t>not</w:t>
      </w:r>
      <w:r>
        <w:rPr>
          <w:spacing w:val="-2"/>
        </w:rPr>
        <w:t xml:space="preserve"> </w:t>
      </w:r>
      <w:r>
        <w:t>to</w:t>
      </w:r>
      <w:r>
        <w:rPr>
          <w:spacing w:val="-4"/>
        </w:rPr>
        <w:t xml:space="preserve"> </w:t>
      </w:r>
      <w:r>
        <w:t>exceed 75</w:t>
      </w:r>
      <w:r>
        <w:rPr>
          <w:spacing w:val="-5"/>
        </w:rPr>
        <w:t xml:space="preserve"> </w:t>
      </w:r>
      <w:r>
        <w:t>percent.</w:t>
      </w:r>
      <w:r>
        <w:rPr>
          <w:spacing w:val="-4"/>
        </w:rPr>
        <w:t xml:space="preserve"> </w:t>
      </w:r>
      <w:r>
        <w:t>The</w:t>
      </w:r>
      <w:r>
        <w:rPr>
          <w:spacing w:val="-6"/>
        </w:rPr>
        <w:t xml:space="preserve"> </w:t>
      </w:r>
      <w:r>
        <w:t>duration</w:t>
      </w:r>
      <w:r>
        <w:rPr>
          <w:spacing w:val="-2"/>
        </w:rPr>
        <w:t xml:space="preserve"> </w:t>
      </w:r>
      <w:r>
        <w:t>of</w:t>
      </w:r>
      <w:r>
        <w:rPr>
          <w:spacing w:val="-6"/>
        </w:rPr>
        <w:t xml:space="preserve"> </w:t>
      </w:r>
      <w:r>
        <w:t>the training</w:t>
      </w:r>
      <w:r>
        <w:rPr>
          <w:spacing w:val="-4"/>
        </w:rPr>
        <w:t xml:space="preserve"> </w:t>
      </w:r>
      <w:r>
        <w:t>usually lasts up to 6-months or once a participant has completed no more than 1040 hours of work. With the OJT component, there is a reasonable expectation that the participant will be retained by the business after completion of training.</w:t>
      </w:r>
    </w:p>
    <w:p w14:paraId="3C017861" w14:textId="77777777" w:rsidR="004F23DE" w:rsidRDefault="005D2875" w:rsidP="005D2875">
      <w:pPr>
        <w:pStyle w:val="BodyText"/>
        <w:spacing w:before="274"/>
        <w:ind w:left="360" w:right="358"/>
      </w:pPr>
      <w:r>
        <w:t>The</w:t>
      </w:r>
      <w:r>
        <w:rPr>
          <w:spacing w:val="-15"/>
        </w:rPr>
        <w:t xml:space="preserve"> </w:t>
      </w:r>
      <w:r>
        <w:t>WEX</w:t>
      </w:r>
      <w:r>
        <w:rPr>
          <w:spacing w:val="-15"/>
        </w:rPr>
        <w:t xml:space="preserve"> </w:t>
      </w:r>
      <w:r>
        <w:t>includes</w:t>
      </w:r>
      <w:r>
        <w:rPr>
          <w:spacing w:val="-15"/>
        </w:rPr>
        <w:t xml:space="preserve"> </w:t>
      </w:r>
      <w:r>
        <w:t>paid</w:t>
      </w:r>
      <w:r>
        <w:rPr>
          <w:spacing w:val="-15"/>
        </w:rPr>
        <w:t xml:space="preserve"> </w:t>
      </w:r>
      <w:r>
        <w:t>internships</w:t>
      </w:r>
      <w:r>
        <w:rPr>
          <w:spacing w:val="-15"/>
        </w:rPr>
        <w:t xml:space="preserve"> </w:t>
      </w:r>
      <w:r>
        <w:t>or</w:t>
      </w:r>
      <w:r>
        <w:rPr>
          <w:spacing w:val="-15"/>
        </w:rPr>
        <w:t xml:space="preserve"> </w:t>
      </w:r>
      <w:r>
        <w:t>mentorships.</w:t>
      </w:r>
      <w:r>
        <w:rPr>
          <w:spacing w:val="-15"/>
        </w:rPr>
        <w:t xml:space="preserve"> </w:t>
      </w:r>
      <w:r>
        <w:t>WEX</w:t>
      </w:r>
      <w:r>
        <w:rPr>
          <w:spacing w:val="-15"/>
        </w:rPr>
        <w:t xml:space="preserve"> </w:t>
      </w:r>
      <w:r>
        <w:t>provides</w:t>
      </w:r>
      <w:r>
        <w:rPr>
          <w:spacing w:val="-15"/>
        </w:rPr>
        <w:t xml:space="preserve"> </w:t>
      </w:r>
      <w:r>
        <w:t>the</w:t>
      </w:r>
      <w:r>
        <w:rPr>
          <w:spacing w:val="-15"/>
        </w:rPr>
        <w:t xml:space="preserve"> </w:t>
      </w:r>
      <w:r>
        <w:t>opportunity</w:t>
      </w:r>
      <w:r>
        <w:rPr>
          <w:spacing w:val="-15"/>
        </w:rPr>
        <w:t xml:space="preserve"> </w:t>
      </w:r>
      <w:r>
        <w:t>for</w:t>
      </w:r>
      <w:r>
        <w:rPr>
          <w:spacing w:val="-15"/>
        </w:rPr>
        <w:t xml:space="preserve"> </w:t>
      </w:r>
      <w:r>
        <w:t>participants to learn about an industry, occupation, and gain valuable skills while working.</w:t>
      </w:r>
      <w:r>
        <w:rPr>
          <w:spacing w:val="40"/>
        </w:rPr>
        <w:t xml:space="preserve"> </w:t>
      </w:r>
      <w:r>
        <w:t>Participants are paid wages directly through the grant. Non-profits and state agencies must have a mechanism in place</w:t>
      </w:r>
      <w:r>
        <w:rPr>
          <w:spacing w:val="-9"/>
        </w:rPr>
        <w:t xml:space="preserve"> </w:t>
      </w:r>
      <w:r>
        <w:t>to</w:t>
      </w:r>
      <w:r>
        <w:rPr>
          <w:spacing w:val="-8"/>
        </w:rPr>
        <w:t xml:space="preserve"> </w:t>
      </w:r>
      <w:r>
        <w:t>pay</w:t>
      </w:r>
      <w:r>
        <w:rPr>
          <w:spacing w:val="-13"/>
        </w:rPr>
        <w:t xml:space="preserve"> </w:t>
      </w:r>
      <w:r>
        <w:t>participants</w:t>
      </w:r>
      <w:r>
        <w:rPr>
          <w:spacing w:val="-8"/>
        </w:rPr>
        <w:t xml:space="preserve"> </w:t>
      </w:r>
      <w:r>
        <w:t>on</w:t>
      </w:r>
      <w:r>
        <w:rPr>
          <w:spacing w:val="-8"/>
        </w:rPr>
        <w:t xml:space="preserve"> </w:t>
      </w:r>
      <w:r>
        <w:t>the</w:t>
      </w:r>
      <w:r>
        <w:rPr>
          <w:spacing w:val="-9"/>
        </w:rPr>
        <w:t xml:space="preserve"> </w:t>
      </w:r>
      <w:r>
        <w:t>same</w:t>
      </w:r>
      <w:r>
        <w:rPr>
          <w:spacing w:val="-9"/>
        </w:rPr>
        <w:t xml:space="preserve"> </w:t>
      </w:r>
      <w:r>
        <w:t>pay-schedule</w:t>
      </w:r>
      <w:r>
        <w:rPr>
          <w:spacing w:val="-9"/>
        </w:rPr>
        <w:t xml:space="preserve"> </w:t>
      </w:r>
      <w:r>
        <w:t>as</w:t>
      </w:r>
      <w:r>
        <w:rPr>
          <w:spacing w:val="-8"/>
        </w:rPr>
        <w:t xml:space="preserve"> </w:t>
      </w:r>
      <w:r>
        <w:t>regular</w:t>
      </w:r>
      <w:r>
        <w:rPr>
          <w:spacing w:val="-9"/>
        </w:rPr>
        <w:t xml:space="preserve"> </w:t>
      </w:r>
      <w:r>
        <w:t>employees</w:t>
      </w:r>
      <w:r>
        <w:rPr>
          <w:spacing w:val="-8"/>
        </w:rPr>
        <w:t xml:space="preserve"> </w:t>
      </w:r>
      <w:r>
        <w:t>of</w:t>
      </w:r>
      <w:r>
        <w:rPr>
          <w:spacing w:val="-7"/>
        </w:rPr>
        <w:t xml:space="preserve"> </w:t>
      </w:r>
      <w:r>
        <w:t>the</w:t>
      </w:r>
      <w:r>
        <w:rPr>
          <w:spacing w:val="-9"/>
        </w:rPr>
        <w:t xml:space="preserve"> </w:t>
      </w:r>
      <w:r>
        <w:t>business</w:t>
      </w:r>
      <w:r>
        <w:rPr>
          <w:spacing w:val="-4"/>
        </w:rPr>
        <w:t xml:space="preserve"> </w:t>
      </w:r>
      <w:r>
        <w:t>–</w:t>
      </w:r>
      <w:r>
        <w:rPr>
          <w:spacing w:val="-8"/>
        </w:rPr>
        <w:t xml:space="preserve"> </w:t>
      </w:r>
      <w:r>
        <w:t>weekly, bi-weekly, or monthly. The duration of WEX training usually lasts up to 6-months or once a participant has completed no more than 1040 hours of work.</w:t>
      </w:r>
    </w:p>
    <w:p w14:paraId="1F73F2D6" w14:textId="77777777" w:rsidR="004F23DE" w:rsidRDefault="004F23DE" w:rsidP="005D2875">
      <w:pPr>
        <w:pStyle w:val="BodyText"/>
        <w:spacing w:before="1"/>
      </w:pPr>
    </w:p>
    <w:p w14:paraId="3E37CE2A" w14:textId="77777777" w:rsidR="004F23DE" w:rsidRDefault="005D2875" w:rsidP="005D2875">
      <w:pPr>
        <w:pStyle w:val="BodyText"/>
        <w:ind w:left="360" w:right="360"/>
      </w:pPr>
      <w:r>
        <w:t>The IWT helps small businesses remain competitive by increasing the skillsets of their current workforce. Employees learn new skills and the business benefits from more knowledgeable and productive employees. IWT is usually capped at $10,000 per business.</w:t>
      </w:r>
    </w:p>
    <w:p w14:paraId="7DECF39A" w14:textId="77777777" w:rsidR="004F23DE" w:rsidRDefault="004F23DE" w:rsidP="005D2875">
      <w:pPr>
        <w:pStyle w:val="BodyText"/>
      </w:pPr>
    </w:p>
    <w:p w14:paraId="064A4CB1" w14:textId="77777777" w:rsidR="004F23DE" w:rsidRDefault="005D2875" w:rsidP="005D2875">
      <w:pPr>
        <w:pStyle w:val="BodyText"/>
        <w:ind w:left="360" w:right="364"/>
      </w:pPr>
      <w:r>
        <w:t>Short-term training that leads to an industry recognized credential or certification is acceptable. Training can be provided in a traditional classroom setting, virtual, or onsite at the participants’ place of work.</w:t>
      </w:r>
    </w:p>
    <w:p w14:paraId="6B6CCB95" w14:textId="77777777" w:rsidR="004F23DE" w:rsidRDefault="004F23DE">
      <w:pPr>
        <w:pStyle w:val="BodyText"/>
      </w:pPr>
    </w:p>
    <w:p w14:paraId="47CB168E" w14:textId="77777777" w:rsidR="004F23DE" w:rsidRDefault="005D2875" w:rsidP="005D2875">
      <w:pPr>
        <w:pStyle w:val="BodyText"/>
        <w:ind w:left="360" w:right="356"/>
      </w:pPr>
      <w:r>
        <w:t>Supportive services are allowable costs for participants enrolled in a work-based learning component.</w:t>
      </w:r>
      <w:r>
        <w:rPr>
          <w:spacing w:val="-7"/>
        </w:rPr>
        <w:t xml:space="preserve"> </w:t>
      </w:r>
      <w:r>
        <w:t>Supportive</w:t>
      </w:r>
      <w:r>
        <w:rPr>
          <w:spacing w:val="-8"/>
        </w:rPr>
        <w:t xml:space="preserve"> </w:t>
      </w:r>
      <w:r>
        <w:t>services</w:t>
      </w:r>
      <w:r>
        <w:rPr>
          <w:spacing w:val="-5"/>
        </w:rPr>
        <w:t xml:space="preserve"> </w:t>
      </w:r>
      <w:r>
        <w:t>are</w:t>
      </w:r>
      <w:r>
        <w:rPr>
          <w:spacing w:val="-9"/>
        </w:rPr>
        <w:t xml:space="preserve"> </w:t>
      </w:r>
      <w:r>
        <w:t>temporary</w:t>
      </w:r>
      <w:r>
        <w:rPr>
          <w:spacing w:val="-10"/>
        </w:rPr>
        <w:t xml:space="preserve"> </w:t>
      </w:r>
      <w:r>
        <w:t>and</w:t>
      </w:r>
      <w:r>
        <w:rPr>
          <w:spacing w:val="-7"/>
        </w:rPr>
        <w:t xml:space="preserve"> </w:t>
      </w:r>
      <w:r>
        <w:t>may</w:t>
      </w:r>
      <w:r>
        <w:rPr>
          <w:spacing w:val="-12"/>
        </w:rPr>
        <w:t xml:space="preserve"> </w:t>
      </w:r>
      <w:r>
        <w:t>include,</w:t>
      </w:r>
      <w:r>
        <w:rPr>
          <w:spacing w:val="-7"/>
        </w:rPr>
        <w:t xml:space="preserve"> </w:t>
      </w:r>
      <w:r>
        <w:t>but</w:t>
      </w:r>
      <w:r>
        <w:rPr>
          <w:spacing w:val="-7"/>
        </w:rPr>
        <w:t xml:space="preserve"> </w:t>
      </w:r>
      <w:r>
        <w:t>not</w:t>
      </w:r>
      <w:r>
        <w:rPr>
          <w:spacing w:val="-7"/>
        </w:rPr>
        <w:t xml:space="preserve"> </w:t>
      </w:r>
      <w:r>
        <w:t>limited</w:t>
      </w:r>
      <w:r>
        <w:rPr>
          <w:spacing w:val="-8"/>
        </w:rPr>
        <w:t xml:space="preserve"> </w:t>
      </w:r>
      <w:r>
        <w:t>to</w:t>
      </w:r>
      <w:r>
        <w:rPr>
          <w:spacing w:val="-5"/>
        </w:rPr>
        <w:t xml:space="preserve"> </w:t>
      </w:r>
      <w:r>
        <w:t>the</w:t>
      </w:r>
      <w:r>
        <w:rPr>
          <w:spacing w:val="-8"/>
        </w:rPr>
        <w:t xml:space="preserve"> </w:t>
      </w:r>
      <w:r>
        <w:t>purchase</w:t>
      </w:r>
      <w:r>
        <w:rPr>
          <w:spacing w:val="-6"/>
        </w:rPr>
        <w:t xml:space="preserve"> </w:t>
      </w:r>
      <w:r>
        <w:t>of work boots, gloves, uniforms, tools, and transportation assistance.</w:t>
      </w:r>
    </w:p>
    <w:p w14:paraId="552D1023" w14:textId="77777777" w:rsidR="004F23DE" w:rsidRDefault="004F23DE" w:rsidP="005D2875">
      <w:pPr>
        <w:pStyle w:val="BodyText"/>
        <w:spacing w:before="1"/>
      </w:pPr>
    </w:p>
    <w:p w14:paraId="3CD104A7" w14:textId="77777777" w:rsidR="004F23DE" w:rsidRDefault="005D2875" w:rsidP="005D2875">
      <w:pPr>
        <w:pStyle w:val="BodyText"/>
        <w:ind w:left="360" w:right="358"/>
      </w:pPr>
      <w:r>
        <w:t xml:space="preserve">Grants will be reviewed and rewarded based on the strength and viability of the conceptual framework, substantive involvement of strong partnerships, and indications that projects are expansive in nature from regular work duties with measurable outcomes and clarity of budget. Selection criteria considered may include alignment with the North Carolina Department of Commerce’s “First in Talent” strategic plan, the targeting of jobseekers in underserved communities, and the prioritization of HUB vendors. Non-profits and state agencies may utilize program funds for staffing, provided that they implement set criteria for duties and established </w:t>
      </w:r>
      <w:r>
        <w:rPr>
          <w:spacing w:val="-2"/>
        </w:rPr>
        <w:t>goals.</w:t>
      </w:r>
    </w:p>
    <w:p w14:paraId="39AC50C3" w14:textId="77777777" w:rsidR="004F23DE" w:rsidRDefault="004F23DE">
      <w:pPr>
        <w:pStyle w:val="BodyText"/>
        <w:jc w:val="both"/>
        <w:sectPr w:rsidR="004F23DE">
          <w:pgSz w:w="12240" w:h="15840"/>
          <w:pgMar w:top="1360" w:right="1080" w:bottom="1260" w:left="1080" w:header="0" w:footer="1069" w:gutter="0"/>
          <w:cols w:space="720"/>
        </w:sectPr>
      </w:pPr>
    </w:p>
    <w:p w14:paraId="22A3175E" w14:textId="77777777" w:rsidR="004F23DE" w:rsidRDefault="005D2875">
      <w:pPr>
        <w:pStyle w:val="Heading3"/>
      </w:pPr>
      <w:r>
        <w:lastRenderedPageBreak/>
        <w:t>Schedule</w:t>
      </w:r>
      <w:r>
        <w:rPr>
          <w:spacing w:val="-4"/>
        </w:rPr>
        <w:t xml:space="preserve"> </w:t>
      </w:r>
      <w:r>
        <w:t>for</w:t>
      </w:r>
      <w:r>
        <w:rPr>
          <w:spacing w:val="-3"/>
        </w:rPr>
        <w:t xml:space="preserve"> </w:t>
      </w:r>
      <w:r>
        <w:t>Grant</w:t>
      </w:r>
      <w:r>
        <w:rPr>
          <w:spacing w:val="-6"/>
        </w:rPr>
        <w:t xml:space="preserve"> </w:t>
      </w:r>
      <w:r>
        <w:t>Applications</w:t>
      </w:r>
      <w:r>
        <w:rPr>
          <w:spacing w:val="-6"/>
        </w:rPr>
        <w:t xml:space="preserve"> </w:t>
      </w:r>
      <w:r>
        <w:t>and</w:t>
      </w:r>
      <w:r>
        <w:rPr>
          <w:spacing w:val="-4"/>
        </w:rPr>
        <w:t xml:space="preserve"> </w:t>
      </w:r>
      <w:r>
        <w:rPr>
          <w:spacing w:val="-2"/>
        </w:rPr>
        <w:t>Awards</w:t>
      </w:r>
    </w:p>
    <w:p w14:paraId="65C43269" w14:textId="77777777" w:rsidR="004F23DE" w:rsidRDefault="004F23DE">
      <w:pPr>
        <w:pStyle w:val="BodyText"/>
        <w:spacing w:before="206"/>
        <w:rPr>
          <w:b/>
          <w:sz w:val="20"/>
        </w:rPr>
      </w:pPr>
    </w:p>
    <w:tbl>
      <w:tblPr>
        <w:tblW w:w="0" w:type="auto"/>
        <w:tblInd w:w="317" w:type="dxa"/>
        <w:tblLayout w:type="fixed"/>
        <w:tblCellMar>
          <w:left w:w="0" w:type="dxa"/>
          <w:right w:w="0" w:type="dxa"/>
        </w:tblCellMar>
        <w:tblLook w:val="01E0" w:firstRow="1" w:lastRow="1" w:firstColumn="1" w:lastColumn="1" w:noHBand="0" w:noVBand="0"/>
      </w:tblPr>
      <w:tblGrid>
        <w:gridCol w:w="4888"/>
        <w:gridCol w:w="3392"/>
      </w:tblGrid>
      <w:tr w:rsidR="004F23DE" w14:paraId="1E589809" w14:textId="77777777">
        <w:trPr>
          <w:trHeight w:val="351"/>
        </w:trPr>
        <w:tc>
          <w:tcPr>
            <w:tcW w:w="4888" w:type="dxa"/>
          </w:tcPr>
          <w:p w14:paraId="32CEC801" w14:textId="77777777" w:rsidR="004F23DE" w:rsidRDefault="005D2875">
            <w:pPr>
              <w:pStyle w:val="TableParagraph"/>
              <w:spacing w:before="0" w:line="266" w:lineRule="exact"/>
              <w:rPr>
                <w:sz w:val="24"/>
              </w:rPr>
            </w:pPr>
            <w:r>
              <w:rPr>
                <w:sz w:val="24"/>
              </w:rPr>
              <w:t>Announcement</w:t>
            </w:r>
            <w:r>
              <w:rPr>
                <w:spacing w:val="-2"/>
                <w:sz w:val="24"/>
              </w:rPr>
              <w:t xml:space="preserve"> </w:t>
            </w:r>
            <w:r>
              <w:rPr>
                <w:sz w:val="24"/>
              </w:rPr>
              <w:t>of</w:t>
            </w:r>
            <w:r>
              <w:rPr>
                <w:spacing w:val="-1"/>
                <w:sz w:val="24"/>
              </w:rPr>
              <w:t xml:space="preserve"> </w:t>
            </w:r>
            <w:r>
              <w:rPr>
                <w:sz w:val="24"/>
              </w:rPr>
              <w:t xml:space="preserve">Grant </w:t>
            </w:r>
            <w:r>
              <w:rPr>
                <w:spacing w:val="-2"/>
                <w:sz w:val="24"/>
              </w:rPr>
              <w:t>Opportunity</w:t>
            </w:r>
          </w:p>
        </w:tc>
        <w:tc>
          <w:tcPr>
            <w:tcW w:w="3392" w:type="dxa"/>
          </w:tcPr>
          <w:p w14:paraId="41DB8A62" w14:textId="77777777" w:rsidR="004F23DE" w:rsidRDefault="005D2875">
            <w:pPr>
              <w:pStyle w:val="TableParagraph"/>
              <w:spacing w:before="0" w:line="271" w:lineRule="exact"/>
              <w:ind w:left="197"/>
              <w:rPr>
                <w:b/>
                <w:sz w:val="24"/>
              </w:rPr>
            </w:pPr>
            <w:r>
              <w:rPr>
                <w:b/>
                <w:sz w:val="24"/>
              </w:rPr>
              <w:t>December</w:t>
            </w:r>
            <w:r>
              <w:rPr>
                <w:b/>
                <w:spacing w:val="-3"/>
                <w:sz w:val="24"/>
              </w:rPr>
              <w:t xml:space="preserve"> </w:t>
            </w:r>
            <w:r>
              <w:rPr>
                <w:b/>
                <w:sz w:val="24"/>
              </w:rPr>
              <w:t>6,</w:t>
            </w:r>
            <w:r>
              <w:rPr>
                <w:b/>
                <w:spacing w:val="-2"/>
                <w:sz w:val="24"/>
              </w:rPr>
              <w:t xml:space="preserve"> </w:t>
            </w:r>
            <w:r>
              <w:rPr>
                <w:b/>
                <w:spacing w:val="-4"/>
                <w:sz w:val="24"/>
              </w:rPr>
              <w:t>2022</w:t>
            </w:r>
          </w:p>
        </w:tc>
      </w:tr>
      <w:tr w:rsidR="004F23DE" w14:paraId="77C6B84A" w14:textId="77777777">
        <w:trPr>
          <w:trHeight w:val="431"/>
        </w:trPr>
        <w:tc>
          <w:tcPr>
            <w:tcW w:w="4888" w:type="dxa"/>
          </w:tcPr>
          <w:p w14:paraId="47CD6138" w14:textId="77777777" w:rsidR="004F23DE" w:rsidRDefault="005D2875">
            <w:pPr>
              <w:pStyle w:val="TableParagraph"/>
              <w:rPr>
                <w:sz w:val="24"/>
              </w:rPr>
            </w:pPr>
            <w:r>
              <w:rPr>
                <w:sz w:val="24"/>
              </w:rPr>
              <w:t>Written</w:t>
            </w:r>
            <w:r>
              <w:rPr>
                <w:spacing w:val="-1"/>
                <w:sz w:val="24"/>
              </w:rPr>
              <w:t xml:space="preserve"> </w:t>
            </w:r>
            <w:r>
              <w:rPr>
                <w:sz w:val="24"/>
              </w:rPr>
              <w:t xml:space="preserve">Questions </w:t>
            </w:r>
            <w:r>
              <w:rPr>
                <w:spacing w:val="-2"/>
                <w:sz w:val="24"/>
              </w:rPr>
              <w:t>Deadline</w:t>
            </w:r>
          </w:p>
        </w:tc>
        <w:tc>
          <w:tcPr>
            <w:tcW w:w="3392" w:type="dxa"/>
          </w:tcPr>
          <w:p w14:paraId="2D1773EB" w14:textId="77777777" w:rsidR="004F23DE" w:rsidRDefault="005D2875">
            <w:pPr>
              <w:pStyle w:val="TableParagraph"/>
              <w:spacing w:before="75"/>
              <w:ind w:left="197"/>
              <w:rPr>
                <w:b/>
                <w:sz w:val="24"/>
              </w:rPr>
            </w:pPr>
            <w:r>
              <w:rPr>
                <w:b/>
                <w:sz w:val="24"/>
              </w:rPr>
              <w:t>December</w:t>
            </w:r>
            <w:r>
              <w:rPr>
                <w:b/>
                <w:spacing w:val="-3"/>
                <w:sz w:val="24"/>
              </w:rPr>
              <w:t xml:space="preserve"> </w:t>
            </w:r>
            <w:r>
              <w:rPr>
                <w:b/>
                <w:sz w:val="24"/>
              </w:rPr>
              <w:t>13,</w:t>
            </w:r>
            <w:r>
              <w:rPr>
                <w:b/>
                <w:spacing w:val="-2"/>
                <w:sz w:val="24"/>
              </w:rPr>
              <w:t xml:space="preserve"> </w:t>
            </w:r>
            <w:r>
              <w:rPr>
                <w:b/>
                <w:spacing w:val="-4"/>
                <w:sz w:val="24"/>
              </w:rPr>
              <w:t>2022</w:t>
            </w:r>
          </w:p>
        </w:tc>
      </w:tr>
      <w:tr w:rsidR="004F23DE" w14:paraId="457E2E47" w14:textId="77777777">
        <w:trPr>
          <w:trHeight w:val="432"/>
        </w:trPr>
        <w:tc>
          <w:tcPr>
            <w:tcW w:w="4888" w:type="dxa"/>
          </w:tcPr>
          <w:p w14:paraId="1D98D862" w14:textId="77777777" w:rsidR="004F23DE" w:rsidRDefault="005D2875">
            <w:pPr>
              <w:pStyle w:val="TableParagraph"/>
              <w:rPr>
                <w:sz w:val="24"/>
              </w:rPr>
            </w:pPr>
            <w:r>
              <w:rPr>
                <w:sz w:val="24"/>
              </w:rPr>
              <w:t>Final</w:t>
            </w:r>
            <w:r>
              <w:rPr>
                <w:spacing w:val="-2"/>
                <w:sz w:val="24"/>
              </w:rPr>
              <w:t xml:space="preserve"> </w:t>
            </w:r>
            <w:r>
              <w:rPr>
                <w:sz w:val="24"/>
              </w:rPr>
              <w:t>Questions</w:t>
            </w:r>
            <w:r>
              <w:rPr>
                <w:spacing w:val="-1"/>
                <w:sz w:val="24"/>
              </w:rPr>
              <w:t xml:space="preserve"> </w:t>
            </w:r>
            <w:r>
              <w:rPr>
                <w:sz w:val="24"/>
              </w:rPr>
              <w:t>and</w:t>
            </w:r>
            <w:r>
              <w:rPr>
                <w:spacing w:val="-2"/>
                <w:sz w:val="24"/>
              </w:rPr>
              <w:t xml:space="preserve"> </w:t>
            </w:r>
            <w:r>
              <w:rPr>
                <w:sz w:val="24"/>
              </w:rPr>
              <w:t>Answers</w:t>
            </w:r>
            <w:r>
              <w:rPr>
                <w:spacing w:val="-1"/>
                <w:sz w:val="24"/>
              </w:rPr>
              <w:t xml:space="preserve"> </w:t>
            </w:r>
            <w:r>
              <w:rPr>
                <w:spacing w:val="-2"/>
                <w:sz w:val="24"/>
              </w:rPr>
              <w:t>Distributed</w:t>
            </w:r>
          </w:p>
        </w:tc>
        <w:tc>
          <w:tcPr>
            <w:tcW w:w="3392" w:type="dxa"/>
          </w:tcPr>
          <w:p w14:paraId="0BB1F7DA" w14:textId="77777777" w:rsidR="004F23DE" w:rsidRDefault="005D2875">
            <w:pPr>
              <w:pStyle w:val="TableParagraph"/>
              <w:spacing w:before="75"/>
              <w:ind w:left="197"/>
              <w:rPr>
                <w:b/>
                <w:sz w:val="24"/>
              </w:rPr>
            </w:pPr>
            <w:r>
              <w:rPr>
                <w:b/>
                <w:sz w:val="24"/>
              </w:rPr>
              <w:t>December</w:t>
            </w:r>
            <w:r>
              <w:rPr>
                <w:b/>
                <w:spacing w:val="-3"/>
                <w:sz w:val="24"/>
              </w:rPr>
              <w:t xml:space="preserve"> </w:t>
            </w:r>
            <w:r>
              <w:rPr>
                <w:b/>
                <w:sz w:val="24"/>
              </w:rPr>
              <w:t>20,</w:t>
            </w:r>
            <w:r>
              <w:rPr>
                <w:b/>
                <w:spacing w:val="-2"/>
                <w:sz w:val="24"/>
              </w:rPr>
              <w:t xml:space="preserve"> </w:t>
            </w:r>
            <w:r>
              <w:rPr>
                <w:b/>
                <w:spacing w:val="-4"/>
                <w:sz w:val="24"/>
              </w:rPr>
              <w:t>2022</w:t>
            </w:r>
          </w:p>
        </w:tc>
      </w:tr>
      <w:tr w:rsidR="004F23DE" w14:paraId="797043B8" w14:textId="77777777">
        <w:trPr>
          <w:trHeight w:val="432"/>
        </w:trPr>
        <w:tc>
          <w:tcPr>
            <w:tcW w:w="4888" w:type="dxa"/>
          </w:tcPr>
          <w:p w14:paraId="14C22998" w14:textId="77777777" w:rsidR="004F23DE" w:rsidRDefault="005D2875">
            <w:pPr>
              <w:pStyle w:val="TableParagraph"/>
              <w:rPr>
                <w:sz w:val="24"/>
              </w:rPr>
            </w:pPr>
            <w:r>
              <w:rPr>
                <w:sz w:val="24"/>
              </w:rPr>
              <w:t>ARPA</w:t>
            </w:r>
            <w:r>
              <w:rPr>
                <w:spacing w:val="-1"/>
                <w:sz w:val="24"/>
              </w:rPr>
              <w:t xml:space="preserve"> </w:t>
            </w:r>
            <w:r>
              <w:rPr>
                <w:sz w:val="24"/>
              </w:rPr>
              <w:t>Grant</w:t>
            </w:r>
            <w:r>
              <w:rPr>
                <w:spacing w:val="-1"/>
                <w:sz w:val="24"/>
              </w:rPr>
              <w:t xml:space="preserve"> </w:t>
            </w:r>
            <w:r>
              <w:rPr>
                <w:sz w:val="24"/>
              </w:rPr>
              <w:t>Applications</w:t>
            </w:r>
            <w:r>
              <w:rPr>
                <w:spacing w:val="-1"/>
                <w:sz w:val="24"/>
              </w:rPr>
              <w:t xml:space="preserve"> </w:t>
            </w:r>
            <w:r>
              <w:rPr>
                <w:sz w:val="24"/>
              </w:rPr>
              <w:t xml:space="preserve">Submission </w:t>
            </w:r>
            <w:r>
              <w:rPr>
                <w:spacing w:val="-2"/>
                <w:sz w:val="24"/>
              </w:rPr>
              <w:t>Deadline</w:t>
            </w:r>
          </w:p>
        </w:tc>
        <w:tc>
          <w:tcPr>
            <w:tcW w:w="3392" w:type="dxa"/>
          </w:tcPr>
          <w:p w14:paraId="77C270DA" w14:textId="77777777" w:rsidR="004F23DE" w:rsidRDefault="005D2875">
            <w:pPr>
              <w:pStyle w:val="TableParagraph"/>
              <w:spacing w:before="75"/>
              <w:ind w:left="197"/>
              <w:rPr>
                <w:b/>
                <w:sz w:val="24"/>
              </w:rPr>
            </w:pPr>
            <w:r>
              <w:rPr>
                <w:b/>
                <w:sz w:val="24"/>
              </w:rPr>
              <w:t>January</w:t>
            </w:r>
            <w:r>
              <w:rPr>
                <w:b/>
                <w:spacing w:val="-1"/>
                <w:sz w:val="24"/>
              </w:rPr>
              <w:t xml:space="preserve"> </w:t>
            </w:r>
            <w:r>
              <w:rPr>
                <w:b/>
                <w:sz w:val="24"/>
              </w:rPr>
              <w:t xml:space="preserve">13, </w:t>
            </w:r>
            <w:r>
              <w:rPr>
                <w:b/>
                <w:spacing w:val="-4"/>
                <w:sz w:val="24"/>
              </w:rPr>
              <w:t>2023</w:t>
            </w:r>
          </w:p>
        </w:tc>
      </w:tr>
      <w:tr w:rsidR="004F23DE" w14:paraId="75EEFE47" w14:textId="77777777">
        <w:trPr>
          <w:trHeight w:val="431"/>
        </w:trPr>
        <w:tc>
          <w:tcPr>
            <w:tcW w:w="4888" w:type="dxa"/>
          </w:tcPr>
          <w:p w14:paraId="62E2D2AB" w14:textId="77777777" w:rsidR="004F23DE" w:rsidRDefault="005D2875">
            <w:pPr>
              <w:pStyle w:val="TableParagraph"/>
              <w:rPr>
                <w:sz w:val="24"/>
              </w:rPr>
            </w:pPr>
            <w:r>
              <w:rPr>
                <w:sz w:val="24"/>
              </w:rPr>
              <w:t>ARPA</w:t>
            </w:r>
            <w:r>
              <w:rPr>
                <w:spacing w:val="-1"/>
                <w:sz w:val="24"/>
              </w:rPr>
              <w:t xml:space="preserve"> </w:t>
            </w:r>
            <w:r>
              <w:rPr>
                <w:sz w:val="24"/>
              </w:rPr>
              <w:t>Grant</w:t>
            </w:r>
            <w:r>
              <w:rPr>
                <w:spacing w:val="-1"/>
                <w:sz w:val="24"/>
              </w:rPr>
              <w:t xml:space="preserve"> </w:t>
            </w:r>
            <w:r>
              <w:rPr>
                <w:sz w:val="24"/>
              </w:rPr>
              <w:t>Awards</w:t>
            </w:r>
            <w:r>
              <w:rPr>
                <w:spacing w:val="-1"/>
                <w:sz w:val="24"/>
              </w:rPr>
              <w:t xml:space="preserve"> </w:t>
            </w:r>
            <w:r>
              <w:rPr>
                <w:spacing w:val="-2"/>
                <w:sz w:val="24"/>
              </w:rPr>
              <w:t>Announced</w:t>
            </w:r>
          </w:p>
        </w:tc>
        <w:tc>
          <w:tcPr>
            <w:tcW w:w="3392" w:type="dxa"/>
          </w:tcPr>
          <w:p w14:paraId="32B8C875" w14:textId="77777777" w:rsidR="004F23DE" w:rsidRDefault="005D2875">
            <w:pPr>
              <w:pStyle w:val="TableParagraph"/>
              <w:spacing w:before="75"/>
              <w:ind w:left="197"/>
              <w:rPr>
                <w:b/>
                <w:sz w:val="24"/>
              </w:rPr>
            </w:pPr>
            <w:r>
              <w:rPr>
                <w:b/>
                <w:sz w:val="24"/>
              </w:rPr>
              <w:t>February</w:t>
            </w:r>
            <w:r>
              <w:rPr>
                <w:b/>
                <w:spacing w:val="-4"/>
                <w:sz w:val="24"/>
              </w:rPr>
              <w:t xml:space="preserve"> </w:t>
            </w:r>
            <w:r>
              <w:rPr>
                <w:b/>
                <w:sz w:val="24"/>
              </w:rPr>
              <w:t>13,</w:t>
            </w:r>
            <w:r>
              <w:rPr>
                <w:b/>
                <w:spacing w:val="-2"/>
                <w:sz w:val="24"/>
              </w:rPr>
              <w:t xml:space="preserve"> </w:t>
            </w:r>
            <w:r>
              <w:rPr>
                <w:b/>
                <w:spacing w:val="-4"/>
                <w:sz w:val="24"/>
              </w:rPr>
              <w:t>2023</w:t>
            </w:r>
          </w:p>
        </w:tc>
      </w:tr>
      <w:tr w:rsidR="004F23DE" w14:paraId="77799E9E" w14:textId="77777777">
        <w:trPr>
          <w:trHeight w:val="432"/>
        </w:trPr>
        <w:tc>
          <w:tcPr>
            <w:tcW w:w="4888" w:type="dxa"/>
          </w:tcPr>
          <w:p w14:paraId="6C9DD876" w14:textId="77777777" w:rsidR="004F23DE" w:rsidRDefault="005D2875">
            <w:pPr>
              <w:pStyle w:val="TableParagraph"/>
              <w:rPr>
                <w:sz w:val="24"/>
              </w:rPr>
            </w:pPr>
            <w:r>
              <w:rPr>
                <w:sz w:val="24"/>
              </w:rPr>
              <w:t>Award</w:t>
            </w:r>
            <w:r>
              <w:rPr>
                <w:spacing w:val="-2"/>
                <w:sz w:val="24"/>
              </w:rPr>
              <w:t xml:space="preserve"> </w:t>
            </w:r>
            <w:r>
              <w:rPr>
                <w:sz w:val="24"/>
              </w:rPr>
              <w:t>ARPA</w:t>
            </w:r>
            <w:r>
              <w:rPr>
                <w:spacing w:val="-2"/>
                <w:sz w:val="24"/>
              </w:rPr>
              <w:t xml:space="preserve"> </w:t>
            </w:r>
            <w:r>
              <w:rPr>
                <w:sz w:val="24"/>
              </w:rPr>
              <w:t>Grant</w:t>
            </w:r>
            <w:r>
              <w:rPr>
                <w:spacing w:val="-1"/>
                <w:sz w:val="24"/>
              </w:rPr>
              <w:t xml:space="preserve"> </w:t>
            </w:r>
            <w:r>
              <w:rPr>
                <w:spacing w:val="-4"/>
                <w:sz w:val="24"/>
              </w:rPr>
              <w:t>Funds</w:t>
            </w:r>
          </w:p>
        </w:tc>
        <w:tc>
          <w:tcPr>
            <w:tcW w:w="3392" w:type="dxa"/>
          </w:tcPr>
          <w:p w14:paraId="7E860BA4" w14:textId="77777777" w:rsidR="004F23DE" w:rsidRDefault="005D2875">
            <w:pPr>
              <w:pStyle w:val="TableParagraph"/>
              <w:spacing w:before="75"/>
              <w:ind w:left="197"/>
              <w:rPr>
                <w:b/>
                <w:sz w:val="24"/>
              </w:rPr>
            </w:pPr>
            <w:r>
              <w:rPr>
                <w:b/>
                <w:sz w:val="24"/>
              </w:rPr>
              <w:t>February</w:t>
            </w:r>
            <w:r>
              <w:rPr>
                <w:b/>
                <w:spacing w:val="-4"/>
                <w:sz w:val="24"/>
              </w:rPr>
              <w:t xml:space="preserve"> </w:t>
            </w:r>
            <w:r>
              <w:rPr>
                <w:b/>
                <w:sz w:val="24"/>
              </w:rPr>
              <w:t>13,</w:t>
            </w:r>
            <w:r>
              <w:rPr>
                <w:b/>
                <w:spacing w:val="-2"/>
                <w:sz w:val="24"/>
              </w:rPr>
              <w:t xml:space="preserve"> </w:t>
            </w:r>
            <w:r>
              <w:rPr>
                <w:b/>
                <w:spacing w:val="-4"/>
                <w:sz w:val="24"/>
              </w:rPr>
              <w:t>2023</w:t>
            </w:r>
          </w:p>
        </w:tc>
      </w:tr>
      <w:tr w:rsidR="004F23DE" w14:paraId="7874234D" w14:textId="77777777">
        <w:trPr>
          <w:trHeight w:val="432"/>
        </w:trPr>
        <w:tc>
          <w:tcPr>
            <w:tcW w:w="4888" w:type="dxa"/>
          </w:tcPr>
          <w:p w14:paraId="0FC6FFF9" w14:textId="77777777" w:rsidR="004F23DE" w:rsidRDefault="005D2875">
            <w:pPr>
              <w:pStyle w:val="TableParagraph"/>
              <w:rPr>
                <w:sz w:val="24"/>
              </w:rPr>
            </w:pPr>
            <w:r>
              <w:rPr>
                <w:sz w:val="24"/>
              </w:rPr>
              <w:t>Official</w:t>
            </w:r>
            <w:r>
              <w:rPr>
                <w:spacing w:val="-3"/>
                <w:sz w:val="24"/>
              </w:rPr>
              <w:t xml:space="preserve"> </w:t>
            </w:r>
            <w:r>
              <w:rPr>
                <w:sz w:val="24"/>
              </w:rPr>
              <w:t>ARPA</w:t>
            </w:r>
            <w:r>
              <w:rPr>
                <w:spacing w:val="-2"/>
                <w:sz w:val="24"/>
              </w:rPr>
              <w:t xml:space="preserve"> </w:t>
            </w:r>
            <w:r>
              <w:rPr>
                <w:sz w:val="24"/>
              </w:rPr>
              <w:t>Grant</w:t>
            </w:r>
            <w:r>
              <w:rPr>
                <w:spacing w:val="1"/>
                <w:sz w:val="24"/>
              </w:rPr>
              <w:t xml:space="preserve"> </w:t>
            </w:r>
            <w:r>
              <w:rPr>
                <w:sz w:val="24"/>
              </w:rPr>
              <w:t>Initiative</w:t>
            </w:r>
            <w:r>
              <w:rPr>
                <w:spacing w:val="-1"/>
                <w:sz w:val="24"/>
              </w:rPr>
              <w:t xml:space="preserve"> </w:t>
            </w:r>
            <w:r>
              <w:rPr>
                <w:spacing w:val="-2"/>
                <w:sz w:val="24"/>
              </w:rPr>
              <w:t>Launch</w:t>
            </w:r>
          </w:p>
        </w:tc>
        <w:tc>
          <w:tcPr>
            <w:tcW w:w="3392" w:type="dxa"/>
          </w:tcPr>
          <w:p w14:paraId="6056AE93" w14:textId="77777777" w:rsidR="004F23DE" w:rsidRDefault="005D2875">
            <w:pPr>
              <w:pStyle w:val="TableParagraph"/>
              <w:spacing w:before="75"/>
              <w:ind w:left="197"/>
              <w:rPr>
                <w:b/>
                <w:sz w:val="24"/>
              </w:rPr>
            </w:pPr>
            <w:r>
              <w:rPr>
                <w:b/>
                <w:sz w:val="24"/>
              </w:rPr>
              <w:t>February</w:t>
            </w:r>
            <w:r>
              <w:rPr>
                <w:b/>
                <w:spacing w:val="-4"/>
                <w:sz w:val="24"/>
              </w:rPr>
              <w:t xml:space="preserve"> </w:t>
            </w:r>
            <w:r>
              <w:rPr>
                <w:b/>
                <w:sz w:val="24"/>
              </w:rPr>
              <w:t>13,</w:t>
            </w:r>
            <w:r>
              <w:rPr>
                <w:b/>
                <w:spacing w:val="-2"/>
                <w:sz w:val="24"/>
              </w:rPr>
              <w:t xml:space="preserve"> </w:t>
            </w:r>
            <w:r>
              <w:rPr>
                <w:b/>
                <w:spacing w:val="-4"/>
                <w:sz w:val="24"/>
              </w:rPr>
              <w:t>2023</w:t>
            </w:r>
          </w:p>
        </w:tc>
      </w:tr>
      <w:tr w:rsidR="004F23DE" w14:paraId="05B57055" w14:textId="77777777">
        <w:trPr>
          <w:trHeight w:val="346"/>
        </w:trPr>
        <w:tc>
          <w:tcPr>
            <w:tcW w:w="4888" w:type="dxa"/>
          </w:tcPr>
          <w:p w14:paraId="1A7B4260" w14:textId="77777777" w:rsidR="004F23DE" w:rsidRDefault="005D2875">
            <w:pPr>
              <w:pStyle w:val="TableParagraph"/>
              <w:spacing w:before="71" w:line="256" w:lineRule="exact"/>
              <w:rPr>
                <w:sz w:val="24"/>
              </w:rPr>
            </w:pPr>
            <w:r>
              <w:rPr>
                <w:sz w:val="24"/>
              </w:rPr>
              <w:t>Monitoring/Follow-up/Fiscal</w:t>
            </w:r>
            <w:r>
              <w:rPr>
                <w:spacing w:val="-3"/>
                <w:sz w:val="24"/>
              </w:rPr>
              <w:t xml:space="preserve"> </w:t>
            </w:r>
            <w:r>
              <w:rPr>
                <w:sz w:val="24"/>
              </w:rPr>
              <w:t>and</w:t>
            </w:r>
            <w:r>
              <w:rPr>
                <w:spacing w:val="-3"/>
                <w:sz w:val="24"/>
              </w:rPr>
              <w:t xml:space="preserve"> </w:t>
            </w:r>
            <w:r>
              <w:rPr>
                <w:sz w:val="24"/>
              </w:rPr>
              <w:t>Final</w:t>
            </w:r>
            <w:r>
              <w:rPr>
                <w:spacing w:val="-2"/>
                <w:sz w:val="24"/>
              </w:rPr>
              <w:t xml:space="preserve"> Report</w:t>
            </w:r>
          </w:p>
        </w:tc>
        <w:tc>
          <w:tcPr>
            <w:tcW w:w="3392" w:type="dxa"/>
          </w:tcPr>
          <w:p w14:paraId="05AE2B07" w14:textId="77777777" w:rsidR="004F23DE" w:rsidRDefault="005D2875">
            <w:pPr>
              <w:pStyle w:val="TableParagraph"/>
              <w:spacing w:before="71" w:line="256" w:lineRule="exact"/>
              <w:ind w:left="197"/>
              <w:rPr>
                <w:sz w:val="24"/>
              </w:rPr>
            </w:pPr>
            <w:r>
              <w:rPr>
                <w:b/>
                <w:sz w:val="24"/>
              </w:rPr>
              <w:t>September</w:t>
            </w:r>
            <w:r>
              <w:rPr>
                <w:b/>
                <w:spacing w:val="-3"/>
                <w:sz w:val="24"/>
              </w:rPr>
              <w:t xml:space="preserve"> </w:t>
            </w:r>
            <w:r>
              <w:rPr>
                <w:b/>
                <w:sz w:val="24"/>
              </w:rPr>
              <w:t>30,</w:t>
            </w:r>
            <w:r>
              <w:rPr>
                <w:b/>
                <w:spacing w:val="-2"/>
                <w:sz w:val="24"/>
              </w:rPr>
              <w:t xml:space="preserve"> </w:t>
            </w:r>
            <w:r>
              <w:rPr>
                <w:b/>
                <w:sz w:val="24"/>
              </w:rPr>
              <w:t>2024</w:t>
            </w:r>
            <w:r>
              <w:rPr>
                <w:b/>
                <w:spacing w:val="-1"/>
                <w:sz w:val="24"/>
              </w:rPr>
              <w:t xml:space="preserve"> </w:t>
            </w:r>
            <w:r>
              <w:rPr>
                <w:spacing w:val="-2"/>
                <w:sz w:val="24"/>
              </w:rPr>
              <w:t>(Quarterly)</w:t>
            </w:r>
          </w:p>
        </w:tc>
      </w:tr>
    </w:tbl>
    <w:p w14:paraId="1CA3169E" w14:textId="77777777" w:rsidR="004F23DE" w:rsidRDefault="004F23DE">
      <w:pPr>
        <w:pStyle w:val="BodyText"/>
        <w:rPr>
          <w:b/>
          <w:sz w:val="28"/>
        </w:rPr>
      </w:pPr>
    </w:p>
    <w:p w14:paraId="37A7658B" w14:textId="77777777" w:rsidR="004F23DE" w:rsidRDefault="004F23DE">
      <w:pPr>
        <w:pStyle w:val="BodyText"/>
        <w:spacing w:before="193"/>
        <w:rPr>
          <w:b/>
          <w:sz w:val="28"/>
        </w:rPr>
      </w:pPr>
    </w:p>
    <w:p w14:paraId="2BEF5D8A" w14:textId="77777777" w:rsidR="004F23DE" w:rsidRDefault="005D2875">
      <w:pPr>
        <w:ind w:left="360"/>
        <w:jc w:val="both"/>
        <w:rPr>
          <w:b/>
          <w:sz w:val="28"/>
        </w:rPr>
      </w:pPr>
      <w:r>
        <w:rPr>
          <w:b/>
          <w:sz w:val="28"/>
        </w:rPr>
        <w:t>Application</w:t>
      </w:r>
      <w:r>
        <w:rPr>
          <w:b/>
          <w:spacing w:val="-10"/>
          <w:sz w:val="28"/>
        </w:rPr>
        <w:t xml:space="preserve"> </w:t>
      </w:r>
      <w:r>
        <w:rPr>
          <w:b/>
          <w:spacing w:val="-2"/>
          <w:sz w:val="28"/>
        </w:rPr>
        <w:t>Submission</w:t>
      </w:r>
    </w:p>
    <w:p w14:paraId="18E43B05" w14:textId="77777777" w:rsidR="004F23DE" w:rsidRDefault="005D2875" w:rsidP="005D2875">
      <w:pPr>
        <w:pStyle w:val="BodyText"/>
        <w:spacing w:before="270"/>
        <w:ind w:left="360" w:right="358"/>
      </w:pPr>
      <w:r>
        <w:t>The</w:t>
      </w:r>
      <w:r>
        <w:rPr>
          <w:spacing w:val="-6"/>
        </w:rPr>
        <w:t xml:space="preserve"> </w:t>
      </w:r>
      <w:r>
        <w:t>completed</w:t>
      </w:r>
      <w:r>
        <w:rPr>
          <w:spacing w:val="-4"/>
        </w:rPr>
        <w:t xml:space="preserve"> </w:t>
      </w:r>
      <w:r>
        <w:t>application</w:t>
      </w:r>
      <w:r>
        <w:rPr>
          <w:spacing w:val="-4"/>
        </w:rPr>
        <w:t xml:space="preserve"> </w:t>
      </w:r>
      <w:r>
        <w:t>with</w:t>
      </w:r>
      <w:r>
        <w:rPr>
          <w:spacing w:val="-4"/>
        </w:rPr>
        <w:t xml:space="preserve"> </w:t>
      </w:r>
      <w:r>
        <w:t>original</w:t>
      </w:r>
      <w:r>
        <w:rPr>
          <w:spacing w:val="-4"/>
        </w:rPr>
        <w:t xml:space="preserve"> </w:t>
      </w:r>
      <w:r>
        <w:t>signatures</w:t>
      </w:r>
      <w:r>
        <w:rPr>
          <w:spacing w:val="-2"/>
        </w:rPr>
        <w:t xml:space="preserve"> </w:t>
      </w:r>
      <w:r>
        <w:t>must</w:t>
      </w:r>
      <w:r>
        <w:rPr>
          <w:spacing w:val="-4"/>
        </w:rPr>
        <w:t xml:space="preserve"> </w:t>
      </w:r>
      <w:r>
        <w:t>be</w:t>
      </w:r>
      <w:r>
        <w:rPr>
          <w:spacing w:val="-5"/>
        </w:rPr>
        <w:t xml:space="preserve"> </w:t>
      </w:r>
      <w:r>
        <w:t>submitted</w:t>
      </w:r>
      <w:r>
        <w:rPr>
          <w:spacing w:val="-4"/>
        </w:rPr>
        <w:t xml:space="preserve"> </w:t>
      </w:r>
      <w:r>
        <w:t>(using</w:t>
      </w:r>
      <w:r>
        <w:rPr>
          <w:spacing w:val="-7"/>
        </w:rPr>
        <w:t xml:space="preserve"> </w:t>
      </w:r>
      <w:r>
        <w:t>DocuSign</w:t>
      </w:r>
      <w:r>
        <w:rPr>
          <w:spacing w:val="-4"/>
        </w:rPr>
        <w:t xml:space="preserve"> </w:t>
      </w:r>
      <w:r>
        <w:t>or</w:t>
      </w:r>
      <w:r>
        <w:rPr>
          <w:spacing w:val="-4"/>
        </w:rPr>
        <w:t xml:space="preserve"> </w:t>
      </w:r>
      <w:r>
        <w:t xml:space="preserve">similar software) by </w:t>
      </w:r>
      <w:r>
        <w:rPr>
          <w:b/>
        </w:rPr>
        <w:t xml:space="preserve">5:00 p.m. </w:t>
      </w:r>
      <w:r>
        <w:t xml:space="preserve">on </w:t>
      </w:r>
      <w:r>
        <w:rPr>
          <w:b/>
        </w:rPr>
        <w:t>January 13, 2023</w:t>
      </w:r>
      <w:r>
        <w:t>. Applicants must address all sections. Application submission by electronic mail is acceptable with a scanned copy of the signatory page.</w:t>
      </w:r>
    </w:p>
    <w:p w14:paraId="06B8F806" w14:textId="77777777" w:rsidR="004F23DE" w:rsidRDefault="004F23DE" w:rsidP="005D2875">
      <w:pPr>
        <w:pStyle w:val="BodyText"/>
      </w:pPr>
    </w:p>
    <w:p w14:paraId="010FC36B" w14:textId="77777777" w:rsidR="004F23DE" w:rsidRDefault="005D2875" w:rsidP="005D2875">
      <w:pPr>
        <w:pStyle w:val="BodyText"/>
        <w:ind w:left="360" w:right="358"/>
      </w:pPr>
      <w:r>
        <w:t>The</w:t>
      </w:r>
      <w:r>
        <w:rPr>
          <w:spacing w:val="-2"/>
        </w:rPr>
        <w:t xml:space="preserve"> </w:t>
      </w:r>
      <w:r>
        <w:t>narrative</w:t>
      </w:r>
      <w:r>
        <w:rPr>
          <w:spacing w:val="-1"/>
        </w:rPr>
        <w:t xml:space="preserve"> </w:t>
      </w:r>
      <w:r>
        <w:t>portion</w:t>
      </w:r>
      <w:r>
        <w:rPr>
          <w:spacing w:val="-1"/>
        </w:rPr>
        <w:t xml:space="preserve"> </w:t>
      </w:r>
      <w:r>
        <w:t>of</w:t>
      </w:r>
      <w:r>
        <w:rPr>
          <w:spacing w:val="-1"/>
        </w:rPr>
        <w:t xml:space="preserve"> </w:t>
      </w:r>
      <w:r>
        <w:t>the</w:t>
      </w:r>
      <w:r>
        <w:rPr>
          <w:spacing w:val="-1"/>
        </w:rPr>
        <w:t xml:space="preserve"> </w:t>
      </w:r>
      <w:r>
        <w:t>application</w:t>
      </w:r>
      <w:r>
        <w:rPr>
          <w:spacing w:val="-1"/>
        </w:rPr>
        <w:t xml:space="preserve"> </w:t>
      </w:r>
      <w:r>
        <w:t>should</w:t>
      </w:r>
      <w:r>
        <w:rPr>
          <w:spacing w:val="-1"/>
        </w:rPr>
        <w:t xml:space="preserve"> </w:t>
      </w:r>
      <w:r>
        <w:t xml:space="preserve">not exceed </w:t>
      </w:r>
      <w:r>
        <w:rPr>
          <w:i/>
        </w:rPr>
        <w:t xml:space="preserve">four </w:t>
      </w:r>
      <w:r>
        <w:t>(4)</w:t>
      </w:r>
      <w:r>
        <w:rPr>
          <w:spacing w:val="-2"/>
        </w:rPr>
        <w:t xml:space="preserve"> </w:t>
      </w:r>
      <w:r>
        <w:t>pages</w:t>
      </w:r>
      <w:r>
        <w:rPr>
          <w:spacing w:val="-1"/>
        </w:rPr>
        <w:t xml:space="preserve"> </w:t>
      </w:r>
      <w:r>
        <w:t>in a</w:t>
      </w:r>
      <w:r>
        <w:rPr>
          <w:spacing w:val="-1"/>
        </w:rPr>
        <w:t xml:space="preserve"> </w:t>
      </w:r>
      <w:r>
        <w:t>Times</w:t>
      </w:r>
      <w:r>
        <w:rPr>
          <w:spacing w:val="-1"/>
        </w:rPr>
        <w:t xml:space="preserve"> </w:t>
      </w:r>
      <w:r>
        <w:t>New Roman or</w:t>
      </w:r>
      <w:r>
        <w:rPr>
          <w:spacing w:val="-8"/>
        </w:rPr>
        <w:t xml:space="preserve"> </w:t>
      </w:r>
      <w:r>
        <w:t>Calibri</w:t>
      </w:r>
      <w:r>
        <w:rPr>
          <w:spacing w:val="-7"/>
        </w:rPr>
        <w:t xml:space="preserve"> </w:t>
      </w:r>
      <w:r>
        <w:t>style</w:t>
      </w:r>
      <w:r>
        <w:rPr>
          <w:spacing w:val="-6"/>
        </w:rPr>
        <w:t xml:space="preserve"> </w:t>
      </w:r>
      <w:r>
        <w:t>font</w:t>
      </w:r>
      <w:r>
        <w:rPr>
          <w:spacing w:val="-7"/>
        </w:rPr>
        <w:t xml:space="preserve"> </w:t>
      </w:r>
      <w:r>
        <w:t>of</w:t>
      </w:r>
      <w:r>
        <w:rPr>
          <w:spacing w:val="-6"/>
        </w:rPr>
        <w:t xml:space="preserve"> </w:t>
      </w:r>
      <w:r>
        <w:t>12</w:t>
      </w:r>
      <w:r>
        <w:rPr>
          <w:spacing w:val="-5"/>
        </w:rPr>
        <w:t xml:space="preserve"> </w:t>
      </w:r>
      <w:r>
        <w:t>points,</w:t>
      </w:r>
      <w:r>
        <w:rPr>
          <w:spacing w:val="-7"/>
        </w:rPr>
        <w:t xml:space="preserve"> </w:t>
      </w:r>
      <w:r>
        <w:t>with</w:t>
      </w:r>
      <w:r>
        <w:rPr>
          <w:spacing w:val="-7"/>
        </w:rPr>
        <w:t xml:space="preserve"> </w:t>
      </w:r>
      <w:r>
        <w:t>1”</w:t>
      </w:r>
      <w:r>
        <w:rPr>
          <w:spacing w:val="-8"/>
        </w:rPr>
        <w:t xml:space="preserve"> </w:t>
      </w:r>
      <w:r>
        <w:t>margins,</w:t>
      </w:r>
      <w:r>
        <w:rPr>
          <w:spacing w:val="-4"/>
        </w:rPr>
        <w:t xml:space="preserve"> </w:t>
      </w:r>
      <w:r>
        <w:t>and</w:t>
      </w:r>
      <w:r>
        <w:rPr>
          <w:spacing w:val="-7"/>
        </w:rPr>
        <w:t xml:space="preserve"> </w:t>
      </w:r>
      <w:r>
        <w:t>1.5</w:t>
      </w:r>
      <w:r>
        <w:rPr>
          <w:spacing w:val="-7"/>
        </w:rPr>
        <w:t xml:space="preserve"> </w:t>
      </w:r>
      <w:r>
        <w:t>line</w:t>
      </w:r>
      <w:r>
        <w:rPr>
          <w:spacing w:val="-8"/>
        </w:rPr>
        <w:t xml:space="preserve"> </w:t>
      </w:r>
      <w:r>
        <w:t>spacing</w:t>
      </w:r>
      <w:r>
        <w:rPr>
          <w:spacing w:val="-10"/>
        </w:rPr>
        <w:t xml:space="preserve"> </w:t>
      </w:r>
      <w:r>
        <w:t>(the</w:t>
      </w:r>
      <w:r>
        <w:rPr>
          <w:spacing w:val="-4"/>
        </w:rPr>
        <w:t xml:space="preserve"> </w:t>
      </w:r>
      <w:r>
        <w:t>Signatory</w:t>
      </w:r>
      <w:r>
        <w:rPr>
          <w:spacing w:val="-12"/>
        </w:rPr>
        <w:t xml:space="preserve"> </w:t>
      </w:r>
      <w:r>
        <w:t>Page,</w:t>
      </w:r>
      <w:r>
        <w:rPr>
          <w:spacing w:val="-7"/>
        </w:rPr>
        <w:t xml:space="preserve"> </w:t>
      </w:r>
      <w:r>
        <w:t xml:space="preserve">Goals and Outcomes, and Budget Chart are </w:t>
      </w:r>
      <w:r>
        <w:rPr>
          <w:u w:val="single"/>
        </w:rPr>
        <w:t>not</w:t>
      </w:r>
      <w:r>
        <w:t xml:space="preserve"> a part of the 4-page limit). The application should be accompanied with a cover page providing the agency name.</w:t>
      </w:r>
    </w:p>
    <w:p w14:paraId="54C88D0D" w14:textId="77777777" w:rsidR="004F23DE" w:rsidRDefault="004F23DE">
      <w:pPr>
        <w:pStyle w:val="BodyText"/>
      </w:pPr>
    </w:p>
    <w:p w14:paraId="2CD819DF" w14:textId="77777777" w:rsidR="004F23DE" w:rsidRDefault="005D2875">
      <w:pPr>
        <w:ind w:left="360"/>
        <w:jc w:val="both"/>
        <w:rPr>
          <w:i/>
          <w:sz w:val="24"/>
        </w:rPr>
      </w:pPr>
      <w:r>
        <w:rPr>
          <w:i/>
          <w:sz w:val="24"/>
        </w:rPr>
        <w:t>Submit</w:t>
      </w:r>
      <w:r>
        <w:rPr>
          <w:i/>
          <w:spacing w:val="-3"/>
          <w:sz w:val="24"/>
        </w:rPr>
        <w:t xml:space="preserve"> </w:t>
      </w:r>
      <w:r>
        <w:rPr>
          <w:i/>
          <w:sz w:val="24"/>
        </w:rPr>
        <w:t>the</w:t>
      </w:r>
      <w:r>
        <w:rPr>
          <w:i/>
          <w:spacing w:val="-2"/>
          <w:sz w:val="24"/>
        </w:rPr>
        <w:t xml:space="preserve"> </w:t>
      </w:r>
      <w:r>
        <w:rPr>
          <w:i/>
          <w:sz w:val="24"/>
        </w:rPr>
        <w:t>Application</w:t>
      </w:r>
      <w:r>
        <w:rPr>
          <w:i/>
          <w:spacing w:val="-1"/>
          <w:sz w:val="24"/>
        </w:rPr>
        <w:t xml:space="preserve"> </w:t>
      </w:r>
      <w:r>
        <w:rPr>
          <w:i/>
          <w:sz w:val="24"/>
        </w:rPr>
        <w:t>Package</w:t>
      </w:r>
      <w:r>
        <w:rPr>
          <w:i/>
          <w:spacing w:val="-2"/>
          <w:sz w:val="24"/>
        </w:rPr>
        <w:t xml:space="preserve"> </w:t>
      </w:r>
      <w:r>
        <w:rPr>
          <w:i/>
          <w:spacing w:val="-5"/>
          <w:sz w:val="24"/>
        </w:rPr>
        <w:t>to:</w:t>
      </w:r>
    </w:p>
    <w:p w14:paraId="79653F66" w14:textId="77777777" w:rsidR="004F23DE" w:rsidRDefault="004F23DE">
      <w:pPr>
        <w:pStyle w:val="BodyText"/>
        <w:rPr>
          <w:i/>
        </w:rPr>
      </w:pPr>
    </w:p>
    <w:p w14:paraId="3C3E1F85" w14:textId="77777777" w:rsidR="004F23DE" w:rsidRDefault="005D2875">
      <w:pPr>
        <w:pStyle w:val="BodyText"/>
        <w:ind w:left="1080"/>
      </w:pPr>
      <w:r>
        <w:t xml:space="preserve">Russell </w:t>
      </w:r>
      <w:r>
        <w:rPr>
          <w:spacing w:val="-2"/>
        </w:rPr>
        <w:t>Doles</w:t>
      </w:r>
    </w:p>
    <w:p w14:paraId="364C07B6" w14:textId="77777777" w:rsidR="004F23DE" w:rsidRDefault="005D2875">
      <w:pPr>
        <w:pStyle w:val="BodyText"/>
        <w:ind w:left="1080" w:right="3045"/>
      </w:pPr>
      <w:r>
        <w:t>NC</w:t>
      </w:r>
      <w:r>
        <w:rPr>
          <w:spacing w:val="-10"/>
        </w:rPr>
        <w:t xml:space="preserve"> </w:t>
      </w:r>
      <w:r>
        <w:t>Division</w:t>
      </w:r>
      <w:r>
        <w:rPr>
          <w:spacing w:val="-10"/>
        </w:rPr>
        <w:t xml:space="preserve"> </w:t>
      </w:r>
      <w:r>
        <w:t>of</w:t>
      </w:r>
      <w:r>
        <w:rPr>
          <w:spacing w:val="-10"/>
        </w:rPr>
        <w:t xml:space="preserve"> </w:t>
      </w:r>
      <w:r>
        <w:t>Workforce</w:t>
      </w:r>
      <w:r>
        <w:rPr>
          <w:spacing w:val="-11"/>
        </w:rPr>
        <w:t xml:space="preserve"> </w:t>
      </w:r>
      <w:r>
        <w:t xml:space="preserve">Solutions </w:t>
      </w:r>
      <w:hyperlink r:id="rId16">
        <w:r>
          <w:rPr>
            <w:spacing w:val="-2"/>
          </w:rPr>
          <w:t>rdoles@commerce.nc.gov</w:t>
        </w:r>
      </w:hyperlink>
    </w:p>
    <w:p w14:paraId="1DD09528" w14:textId="77777777" w:rsidR="004F23DE" w:rsidRDefault="004F23DE">
      <w:pPr>
        <w:pStyle w:val="BodyText"/>
      </w:pPr>
    </w:p>
    <w:p w14:paraId="65F6D04F" w14:textId="77777777" w:rsidR="004F23DE" w:rsidRDefault="005D2875" w:rsidP="005D2875">
      <w:pPr>
        <w:pStyle w:val="BodyText"/>
        <w:spacing w:before="1"/>
        <w:ind w:left="360"/>
      </w:pPr>
      <w:r>
        <w:t>All</w:t>
      </w:r>
      <w:r>
        <w:rPr>
          <w:spacing w:val="40"/>
        </w:rPr>
        <w:t xml:space="preserve"> </w:t>
      </w:r>
      <w:r>
        <w:t>questions</w:t>
      </w:r>
      <w:r>
        <w:rPr>
          <w:spacing w:val="42"/>
        </w:rPr>
        <w:t xml:space="preserve"> </w:t>
      </w:r>
      <w:r>
        <w:t>must</w:t>
      </w:r>
      <w:r>
        <w:rPr>
          <w:spacing w:val="42"/>
        </w:rPr>
        <w:t xml:space="preserve"> </w:t>
      </w:r>
      <w:r>
        <w:t>be</w:t>
      </w:r>
      <w:r>
        <w:rPr>
          <w:spacing w:val="41"/>
        </w:rPr>
        <w:t xml:space="preserve"> </w:t>
      </w:r>
      <w:r>
        <w:t>submitted</w:t>
      </w:r>
      <w:r>
        <w:rPr>
          <w:spacing w:val="45"/>
        </w:rPr>
        <w:t xml:space="preserve"> </w:t>
      </w:r>
      <w:r>
        <w:t>in</w:t>
      </w:r>
      <w:r>
        <w:rPr>
          <w:spacing w:val="43"/>
        </w:rPr>
        <w:t xml:space="preserve"> </w:t>
      </w:r>
      <w:r>
        <w:t>writing</w:t>
      </w:r>
      <w:r>
        <w:rPr>
          <w:spacing w:val="40"/>
        </w:rPr>
        <w:t xml:space="preserve"> </w:t>
      </w:r>
      <w:r>
        <w:t>to</w:t>
      </w:r>
      <w:r>
        <w:rPr>
          <w:spacing w:val="45"/>
        </w:rPr>
        <w:t xml:space="preserve"> </w:t>
      </w:r>
      <w:r>
        <w:t>Russell</w:t>
      </w:r>
      <w:r>
        <w:rPr>
          <w:spacing w:val="42"/>
        </w:rPr>
        <w:t xml:space="preserve"> </w:t>
      </w:r>
      <w:r>
        <w:t>Doles</w:t>
      </w:r>
      <w:r>
        <w:rPr>
          <w:spacing w:val="43"/>
        </w:rPr>
        <w:t xml:space="preserve"> </w:t>
      </w:r>
      <w:r>
        <w:t>at</w:t>
      </w:r>
      <w:r>
        <w:rPr>
          <w:spacing w:val="42"/>
        </w:rPr>
        <w:t xml:space="preserve"> </w:t>
      </w:r>
      <w:hyperlink r:id="rId17">
        <w:r>
          <w:t>rdoles@commerce.nc.gov</w:t>
        </w:r>
      </w:hyperlink>
      <w:r>
        <w:rPr>
          <w:spacing w:val="45"/>
        </w:rPr>
        <w:t xml:space="preserve"> </w:t>
      </w:r>
      <w:r>
        <w:rPr>
          <w:spacing w:val="-5"/>
        </w:rPr>
        <w:t>by</w:t>
      </w:r>
    </w:p>
    <w:p w14:paraId="48A24A0E" w14:textId="77777777" w:rsidR="004F23DE" w:rsidRDefault="005D2875" w:rsidP="005D2875">
      <w:pPr>
        <w:ind w:left="360"/>
        <w:rPr>
          <w:sz w:val="24"/>
        </w:rPr>
      </w:pPr>
      <w:r>
        <w:rPr>
          <w:b/>
          <w:sz w:val="24"/>
        </w:rPr>
        <w:t>December</w:t>
      </w:r>
      <w:r>
        <w:rPr>
          <w:b/>
          <w:spacing w:val="-3"/>
          <w:sz w:val="24"/>
        </w:rPr>
        <w:t xml:space="preserve"> </w:t>
      </w:r>
      <w:r>
        <w:rPr>
          <w:b/>
          <w:sz w:val="24"/>
        </w:rPr>
        <w:t>13,</w:t>
      </w:r>
      <w:r>
        <w:rPr>
          <w:b/>
          <w:spacing w:val="-2"/>
          <w:sz w:val="24"/>
        </w:rPr>
        <w:t xml:space="preserve"> 2022</w:t>
      </w:r>
      <w:r>
        <w:rPr>
          <w:spacing w:val="-2"/>
          <w:sz w:val="24"/>
        </w:rPr>
        <w:t>.</w:t>
      </w:r>
    </w:p>
    <w:p w14:paraId="14FFCF62" w14:textId="77777777" w:rsidR="004F23DE" w:rsidRDefault="004F23DE">
      <w:pPr>
        <w:jc w:val="both"/>
        <w:rPr>
          <w:sz w:val="24"/>
        </w:rPr>
        <w:sectPr w:rsidR="004F23DE">
          <w:pgSz w:w="12240" w:h="15840"/>
          <w:pgMar w:top="1360" w:right="1080" w:bottom="1260" w:left="1080" w:header="0" w:footer="1069" w:gutter="0"/>
          <w:cols w:space="720"/>
        </w:sectPr>
      </w:pPr>
    </w:p>
    <w:p w14:paraId="34C3A357" w14:textId="77777777" w:rsidR="004F23DE" w:rsidRDefault="005D2875">
      <w:pPr>
        <w:pStyle w:val="Heading3"/>
      </w:pPr>
      <w:r>
        <w:lastRenderedPageBreak/>
        <w:t>Review</w:t>
      </w:r>
      <w:r>
        <w:rPr>
          <w:spacing w:val="-5"/>
        </w:rPr>
        <w:t xml:space="preserve"> </w:t>
      </w:r>
      <w:r>
        <w:rPr>
          <w:spacing w:val="-2"/>
        </w:rPr>
        <w:t>Process</w:t>
      </w:r>
    </w:p>
    <w:p w14:paraId="505E180C" w14:textId="77777777" w:rsidR="004F23DE" w:rsidRDefault="005D2875">
      <w:pPr>
        <w:pStyle w:val="BodyText"/>
        <w:spacing w:before="270"/>
        <w:ind w:left="360"/>
      </w:pPr>
      <w:r>
        <w:t>A</w:t>
      </w:r>
      <w:r>
        <w:rPr>
          <w:spacing w:val="40"/>
        </w:rPr>
        <w:t xml:space="preserve"> </w:t>
      </w:r>
      <w:r>
        <w:t>panel</w:t>
      </w:r>
      <w:r>
        <w:rPr>
          <w:spacing w:val="40"/>
        </w:rPr>
        <w:t xml:space="preserve"> </w:t>
      </w:r>
      <w:r>
        <w:t>appointed</w:t>
      </w:r>
      <w:r>
        <w:rPr>
          <w:spacing w:val="40"/>
        </w:rPr>
        <w:t xml:space="preserve"> </w:t>
      </w:r>
      <w:r>
        <w:t>by</w:t>
      </w:r>
      <w:r>
        <w:rPr>
          <w:spacing w:val="40"/>
        </w:rPr>
        <w:t xml:space="preserve"> </w:t>
      </w:r>
      <w:r>
        <w:t>the</w:t>
      </w:r>
      <w:r>
        <w:rPr>
          <w:spacing w:val="40"/>
        </w:rPr>
        <w:t xml:space="preserve"> </w:t>
      </w:r>
      <w:r>
        <w:t>Division</w:t>
      </w:r>
      <w:r>
        <w:rPr>
          <w:spacing w:val="40"/>
        </w:rPr>
        <w:t xml:space="preserve"> </w:t>
      </w:r>
      <w:r>
        <w:t>of</w:t>
      </w:r>
      <w:r>
        <w:rPr>
          <w:spacing w:val="40"/>
        </w:rPr>
        <w:t xml:space="preserve"> </w:t>
      </w:r>
      <w:r>
        <w:t>Workforce</w:t>
      </w:r>
      <w:r>
        <w:rPr>
          <w:spacing w:val="40"/>
        </w:rPr>
        <w:t xml:space="preserve"> </w:t>
      </w:r>
      <w:r>
        <w:t>Solutions</w:t>
      </w:r>
      <w:r>
        <w:rPr>
          <w:spacing w:val="40"/>
        </w:rPr>
        <w:t xml:space="preserve"> </w:t>
      </w:r>
      <w:r>
        <w:t>will</w:t>
      </w:r>
      <w:r>
        <w:rPr>
          <w:spacing w:val="40"/>
        </w:rPr>
        <w:t xml:space="preserve"> </w:t>
      </w:r>
      <w:r>
        <w:t>review</w:t>
      </w:r>
      <w:r>
        <w:rPr>
          <w:spacing w:val="40"/>
        </w:rPr>
        <w:t xml:space="preserve"> </w:t>
      </w:r>
      <w:r>
        <w:t>and</w:t>
      </w:r>
      <w:r>
        <w:rPr>
          <w:spacing w:val="40"/>
        </w:rPr>
        <w:t xml:space="preserve"> </w:t>
      </w:r>
      <w:r>
        <w:t>rate</w:t>
      </w:r>
      <w:r>
        <w:rPr>
          <w:spacing w:val="40"/>
        </w:rPr>
        <w:t xml:space="preserve"> </w:t>
      </w:r>
      <w:r>
        <w:t>only</w:t>
      </w:r>
      <w:r>
        <w:rPr>
          <w:spacing w:val="40"/>
        </w:rPr>
        <w:t xml:space="preserve"> </w:t>
      </w:r>
      <w:r>
        <w:t>those proposals that include all required proposal components.</w:t>
      </w:r>
    </w:p>
    <w:p w14:paraId="44CD5D39" w14:textId="77777777" w:rsidR="004F23DE" w:rsidRDefault="004F23DE">
      <w:pPr>
        <w:pStyle w:val="BodyText"/>
      </w:pPr>
    </w:p>
    <w:p w14:paraId="157E3DE2" w14:textId="77777777" w:rsidR="004F23DE" w:rsidRDefault="004F23DE">
      <w:pPr>
        <w:pStyle w:val="BodyText"/>
      </w:pPr>
    </w:p>
    <w:p w14:paraId="2718C957" w14:textId="77777777" w:rsidR="004F23DE" w:rsidRDefault="004F23DE">
      <w:pPr>
        <w:pStyle w:val="BodyText"/>
        <w:spacing w:before="5"/>
      </w:pPr>
    </w:p>
    <w:p w14:paraId="7CF0D7F5" w14:textId="77777777" w:rsidR="004F23DE" w:rsidRDefault="005D2875">
      <w:pPr>
        <w:pStyle w:val="Heading3"/>
        <w:spacing w:before="1"/>
      </w:pPr>
      <w:r>
        <w:t>Grant</w:t>
      </w:r>
      <w:r>
        <w:rPr>
          <w:spacing w:val="-1"/>
        </w:rPr>
        <w:t xml:space="preserve"> </w:t>
      </w:r>
      <w:r>
        <w:rPr>
          <w:spacing w:val="-2"/>
        </w:rPr>
        <w:t>Reporting</w:t>
      </w:r>
    </w:p>
    <w:p w14:paraId="3E99CB8A" w14:textId="77777777" w:rsidR="004F23DE" w:rsidRDefault="005D2875">
      <w:pPr>
        <w:pStyle w:val="Heading4"/>
        <w:spacing w:before="274"/>
      </w:pPr>
      <w:r>
        <w:t>Regular</w:t>
      </w:r>
      <w:r>
        <w:rPr>
          <w:spacing w:val="-2"/>
        </w:rPr>
        <w:t xml:space="preserve"> Reporting:</w:t>
      </w:r>
    </w:p>
    <w:p w14:paraId="2D223896" w14:textId="77777777" w:rsidR="004F23DE" w:rsidRDefault="005D2875" w:rsidP="005D2875">
      <w:pPr>
        <w:pStyle w:val="BodyText"/>
        <w:ind w:left="360" w:right="353"/>
      </w:pPr>
      <w:r>
        <w:t>Grant recipients will be required to submit monthly and quarterly status reports and quarterly financial</w:t>
      </w:r>
      <w:r>
        <w:rPr>
          <w:spacing w:val="-7"/>
        </w:rPr>
        <w:t xml:space="preserve"> </w:t>
      </w:r>
      <w:r>
        <w:t>updates</w:t>
      </w:r>
      <w:r>
        <w:rPr>
          <w:spacing w:val="-8"/>
        </w:rPr>
        <w:t xml:space="preserve"> </w:t>
      </w:r>
      <w:r>
        <w:t>during</w:t>
      </w:r>
      <w:r>
        <w:rPr>
          <w:spacing w:val="-7"/>
        </w:rPr>
        <w:t xml:space="preserve"> </w:t>
      </w:r>
      <w:r>
        <w:t>the</w:t>
      </w:r>
      <w:r>
        <w:rPr>
          <w:spacing w:val="-8"/>
        </w:rPr>
        <w:t xml:space="preserve"> </w:t>
      </w:r>
      <w:r>
        <w:t>life</w:t>
      </w:r>
      <w:r>
        <w:rPr>
          <w:spacing w:val="-9"/>
        </w:rPr>
        <w:t xml:space="preserve"> </w:t>
      </w:r>
      <w:r>
        <w:t>of</w:t>
      </w:r>
      <w:r>
        <w:rPr>
          <w:spacing w:val="-8"/>
        </w:rPr>
        <w:t xml:space="preserve"> </w:t>
      </w:r>
      <w:r>
        <w:t>the</w:t>
      </w:r>
      <w:r>
        <w:rPr>
          <w:spacing w:val="-3"/>
        </w:rPr>
        <w:t xml:space="preserve"> </w:t>
      </w:r>
      <w:r>
        <w:t>grant.</w:t>
      </w:r>
      <w:r>
        <w:rPr>
          <w:spacing w:val="-7"/>
        </w:rPr>
        <w:t xml:space="preserve"> </w:t>
      </w:r>
      <w:r>
        <w:t>Reports</w:t>
      </w:r>
      <w:r>
        <w:rPr>
          <w:spacing w:val="-7"/>
        </w:rPr>
        <w:t xml:space="preserve"> </w:t>
      </w:r>
      <w:r>
        <w:t>will</w:t>
      </w:r>
      <w:r>
        <w:rPr>
          <w:spacing w:val="-7"/>
        </w:rPr>
        <w:t xml:space="preserve"> </w:t>
      </w:r>
      <w:r>
        <w:t>cover</w:t>
      </w:r>
      <w:r>
        <w:rPr>
          <w:spacing w:val="-8"/>
        </w:rPr>
        <w:t xml:space="preserve"> </w:t>
      </w:r>
      <w:r>
        <w:t>areas</w:t>
      </w:r>
      <w:r>
        <w:rPr>
          <w:spacing w:val="-5"/>
        </w:rPr>
        <w:t xml:space="preserve"> </w:t>
      </w:r>
      <w:r>
        <w:t>such</w:t>
      </w:r>
      <w:r>
        <w:rPr>
          <w:spacing w:val="-5"/>
        </w:rPr>
        <w:t xml:space="preserve"> </w:t>
      </w:r>
      <w:r>
        <w:t>as</w:t>
      </w:r>
      <w:r>
        <w:rPr>
          <w:spacing w:val="-2"/>
        </w:rPr>
        <w:t xml:space="preserve"> </w:t>
      </w:r>
      <w:r>
        <w:t>partnership</w:t>
      </w:r>
      <w:r>
        <w:rPr>
          <w:spacing w:val="-7"/>
        </w:rPr>
        <w:t xml:space="preserve"> </w:t>
      </w:r>
      <w:r>
        <w:t>updates, solutions implemented, challenges encountered, participants enrolled, demographics of participants, expenditures, and other subjects. A sample report may be viewed at Attachment 5. Changes to the report format may be provided after the implementation process is underway.</w:t>
      </w:r>
    </w:p>
    <w:p w14:paraId="14E1A8F6" w14:textId="77777777" w:rsidR="004F23DE" w:rsidRDefault="004F23DE">
      <w:pPr>
        <w:pStyle w:val="BodyText"/>
        <w:spacing w:before="3"/>
      </w:pPr>
    </w:p>
    <w:p w14:paraId="301BB05F" w14:textId="77777777" w:rsidR="004F23DE" w:rsidRDefault="005D2875">
      <w:pPr>
        <w:pStyle w:val="Heading4"/>
      </w:pPr>
      <w:r>
        <w:t>Project</w:t>
      </w:r>
      <w:r>
        <w:rPr>
          <w:spacing w:val="-3"/>
        </w:rPr>
        <w:t xml:space="preserve"> </w:t>
      </w:r>
      <w:r>
        <w:rPr>
          <w:spacing w:val="-2"/>
        </w:rPr>
        <w:t>Evaluation:</w:t>
      </w:r>
    </w:p>
    <w:p w14:paraId="3149FF89" w14:textId="77777777" w:rsidR="004F23DE" w:rsidRDefault="005D2875" w:rsidP="005D2875">
      <w:pPr>
        <w:pStyle w:val="BodyText"/>
        <w:ind w:left="360" w:right="356"/>
      </w:pPr>
      <w:r>
        <w:t>Upon closeout of the grant, all grant recipients must provide a final evaluation and summary of the project to include an analysis of the project’s challenges, successes, expenditures, promising practices, and a template about how the project could be sustained locally and replicated in other regions,</w:t>
      </w:r>
      <w:r>
        <w:rPr>
          <w:spacing w:val="-13"/>
        </w:rPr>
        <w:t xml:space="preserve"> </w:t>
      </w:r>
      <w:r>
        <w:t>if</w:t>
      </w:r>
      <w:r>
        <w:rPr>
          <w:spacing w:val="-11"/>
        </w:rPr>
        <w:t xml:space="preserve"> </w:t>
      </w:r>
      <w:r>
        <w:t>deemed</w:t>
      </w:r>
      <w:r>
        <w:rPr>
          <w:spacing w:val="-11"/>
        </w:rPr>
        <w:t xml:space="preserve"> </w:t>
      </w:r>
      <w:r>
        <w:t>a</w:t>
      </w:r>
      <w:r>
        <w:rPr>
          <w:spacing w:val="-12"/>
        </w:rPr>
        <w:t xml:space="preserve"> </w:t>
      </w:r>
      <w:r>
        <w:t>success.</w:t>
      </w:r>
      <w:r>
        <w:rPr>
          <w:spacing w:val="-10"/>
        </w:rPr>
        <w:t xml:space="preserve"> </w:t>
      </w:r>
      <w:r>
        <w:t>The</w:t>
      </w:r>
      <w:r>
        <w:rPr>
          <w:spacing w:val="-12"/>
        </w:rPr>
        <w:t xml:space="preserve"> </w:t>
      </w:r>
      <w:r>
        <w:t>evaluation</w:t>
      </w:r>
      <w:r>
        <w:rPr>
          <w:spacing w:val="-10"/>
        </w:rPr>
        <w:t xml:space="preserve"> </w:t>
      </w:r>
      <w:r>
        <w:t>will</w:t>
      </w:r>
      <w:r>
        <w:rPr>
          <w:spacing w:val="-10"/>
        </w:rPr>
        <w:t xml:space="preserve"> </w:t>
      </w:r>
      <w:r>
        <w:t>also</w:t>
      </w:r>
      <w:r>
        <w:rPr>
          <w:spacing w:val="-10"/>
        </w:rPr>
        <w:t xml:space="preserve"> </w:t>
      </w:r>
      <w:r>
        <w:t>identify</w:t>
      </w:r>
      <w:r>
        <w:rPr>
          <w:spacing w:val="-15"/>
        </w:rPr>
        <w:t xml:space="preserve"> </w:t>
      </w:r>
      <w:r>
        <w:t>each</w:t>
      </w:r>
      <w:r>
        <w:rPr>
          <w:spacing w:val="-8"/>
        </w:rPr>
        <w:t xml:space="preserve"> </w:t>
      </w:r>
      <w:r>
        <w:t>goal</w:t>
      </w:r>
      <w:r>
        <w:rPr>
          <w:spacing w:val="-10"/>
        </w:rPr>
        <w:t xml:space="preserve"> </w:t>
      </w:r>
      <w:r>
        <w:t>and</w:t>
      </w:r>
      <w:r>
        <w:rPr>
          <w:spacing w:val="-9"/>
        </w:rPr>
        <w:t xml:space="preserve"> </w:t>
      </w:r>
      <w:r>
        <w:t>whether</w:t>
      </w:r>
      <w:r>
        <w:rPr>
          <w:spacing w:val="-12"/>
        </w:rPr>
        <w:t xml:space="preserve"> </w:t>
      </w:r>
      <w:r>
        <w:t>the</w:t>
      </w:r>
      <w:r>
        <w:rPr>
          <w:spacing w:val="-11"/>
        </w:rPr>
        <w:t xml:space="preserve"> </w:t>
      </w:r>
      <w:r>
        <w:t>measures were met, exceeded, or not, and an explanation of successes and failures.</w:t>
      </w:r>
    </w:p>
    <w:p w14:paraId="7EDCE822" w14:textId="77777777" w:rsidR="004F23DE" w:rsidRDefault="004F23DE">
      <w:pPr>
        <w:pStyle w:val="BodyText"/>
      </w:pPr>
    </w:p>
    <w:p w14:paraId="6A36B35E" w14:textId="77777777" w:rsidR="005D2875" w:rsidRDefault="005D2875">
      <w:pPr>
        <w:pStyle w:val="Heading3"/>
        <w:spacing w:before="0"/>
        <w:rPr>
          <w:spacing w:val="-2"/>
        </w:rPr>
      </w:pPr>
    </w:p>
    <w:p w14:paraId="336AE56A" w14:textId="3BD4B529" w:rsidR="004F23DE" w:rsidRDefault="005D2875">
      <w:pPr>
        <w:pStyle w:val="Heading3"/>
        <w:spacing w:before="0"/>
      </w:pPr>
      <w:r>
        <w:rPr>
          <w:spacing w:val="-2"/>
        </w:rPr>
        <w:t>Resources</w:t>
      </w:r>
    </w:p>
    <w:p w14:paraId="26EFD97E" w14:textId="77777777" w:rsidR="004F23DE" w:rsidRDefault="004F23DE">
      <w:pPr>
        <w:pStyle w:val="BodyText"/>
        <w:spacing w:before="94"/>
        <w:rPr>
          <w:b/>
          <w:sz w:val="28"/>
        </w:rPr>
      </w:pPr>
    </w:p>
    <w:p w14:paraId="5A778346" w14:textId="77777777" w:rsidR="004F23DE" w:rsidRDefault="005D2875" w:rsidP="005D2875">
      <w:pPr>
        <w:pStyle w:val="BodyText"/>
        <w:spacing w:before="1" w:line="276" w:lineRule="auto"/>
        <w:ind w:left="360" w:right="361"/>
      </w:pPr>
      <w:r>
        <w:t>WorkforceGPS</w:t>
      </w:r>
      <w:r>
        <w:rPr>
          <w:spacing w:val="-8"/>
        </w:rPr>
        <w:t xml:space="preserve"> </w:t>
      </w:r>
      <w:r>
        <w:t>(</w:t>
      </w:r>
      <w:hyperlink r:id="rId18">
        <w:r>
          <w:t>https://strategies.workforcegps.org)</w:t>
        </w:r>
      </w:hyperlink>
      <w:r>
        <w:rPr>
          <w:spacing w:val="-10"/>
        </w:rPr>
        <w:t xml:space="preserve"> </w:t>
      </w:r>
      <w:r>
        <w:t>provides</w:t>
      </w:r>
      <w:r>
        <w:rPr>
          <w:spacing w:val="-9"/>
        </w:rPr>
        <w:t xml:space="preserve"> </w:t>
      </w:r>
      <w:r>
        <w:t>a</w:t>
      </w:r>
      <w:r>
        <w:rPr>
          <w:spacing w:val="-10"/>
        </w:rPr>
        <w:t xml:space="preserve"> </w:t>
      </w:r>
      <w:r>
        <w:t>library</w:t>
      </w:r>
      <w:r>
        <w:rPr>
          <w:spacing w:val="-14"/>
        </w:rPr>
        <w:t xml:space="preserve"> </w:t>
      </w:r>
      <w:r>
        <w:t>of</w:t>
      </w:r>
      <w:r>
        <w:rPr>
          <w:spacing w:val="-10"/>
        </w:rPr>
        <w:t xml:space="preserve"> </w:t>
      </w:r>
      <w:r>
        <w:t>promising</w:t>
      </w:r>
      <w:r>
        <w:rPr>
          <w:spacing w:val="-11"/>
        </w:rPr>
        <w:t xml:space="preserve"> </w:t>
      </w:r>
      <w:r>
        <w:t>practices</w:t>
      </w:r>
      <w:r>
        <w:rPr>
          <w:spacing w:val="-9"/>
        </w:rPr>
        <w:t xml:space="preserve"> </w:t>
      </w:r>
      <w:r>
        <w:t>and workforce system strategies that can be browsed for resources by clicking the tabs. Items listed with numbers next to them indicate the number of resources tagged with that term.</w:t>
      </w:r>
    </w:p>
    <w:sectPr w:rsidR="004F23DE">
      <w:pgSz w:w="12240" w:h="15840"/>
      <w:pgMar w:top="1360" w:right="1080" w:bottom="1260" w:left="1080" w:header="0" w:footer="10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FEFDE" w14:textId="77777777" w:rsidR="005D2875" w:rsidRDefault="005D2875">
      <w:r>
        <w:separator/>
      </w:r>
    </w:p>
  </w:endnote>
  <w:endnote w:type="continuationSeparator" w:id="0">
    <w:p w14:paraId="1B8015E4" w14:textId="77777777" w:rsidR="005D2875" w:rsidRDefault="005D2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ED265" w14:textId="77777777" w:rsidR="00450D13" w:rsidRDefault="00450D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CF848" w14:textId="77777777" w:rsidR="00450D13" w:rsidRDefault="00450D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627F" w14:textId="77777777" w:rsidR="00450D13" w:rsidRDefault="00450D1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31F51" w14:textId="77777777" w:rsidR="004F23DE" w:rsidRDefault="005D2875">
    <w:pPr>
      <w:pStyle w:val="BodyText"/>
      <w:spacing w:line="14" w:lineRule="auto"/>
      <w:rPr>
        <w:sz w:val="20"/>
      </w:rPr>
    </w:pPr>
    <w:r>
      <w:rPr>
        <w:noProof/>
        <w:sz w:val="20"/>
      </w:rPr>
      <mc:AlternateContent>
        <mc:Choice Requires="wps">
          <w:drawing>
            <wp:anchor distT="0" distB="0" distL="0" distR="0" simplePos="0" relativeHeight="487503872" behindDoc="1" locked="0" layoutInCell="1" allowOverlap="1" wp14:anchorId="5C6DA39D" wp14:editId="752A9819">
              <wp:simplePos x="0" y="0"/>
              <wp:positionH relativeFrom="page">
                <wp:posOffset>5387721</wp:posOffset>
              </wp:positionH>
              <wp:positionV relativeFrom="page">
                <wp:posOffset>9239649</wp:posOffset>
              </wp:positionV>
              <wp:extent cx="1485265" cy="3721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5265" cy="372110"/>
                      </a:xfrm>
                      <a:prstGeom prst="rect">
                        <a:avLst/>
                      </a:prstGeom>
                    </wps:spPr>
                    <wps:txbx>
                      <w:txbxContent>
                        <w:p w14:paraId="7E19DDA8" w14:textId="77777777" w:rsidR="004F23DE" w:rsidRDefault="005D2875">
                          <w:pPr>
                            <w:spacing w:before="14"/>
                            <w:ind w:right="18"/>
                            <w:jc w:val="right"/>
                            <w:rPr>
                              <w:sz w:val="16"/>
                            </w:rPr>
                          </w:pPr>
                          <w:r>
                            <w:rPr>
                              <w:sz w:val="16"/>
                            </w:rPr>
                            <w:t>Operational</w:t>
                          </w:r>
                          <w:r>
                            <w:rPr>
                              <w:spacing w:val="-9"/>
                              <w:sz w:val="16"/>
                            </w:rPr>
                            <w:t xml:space="preserve"> </w:t>
                          </w:r>
                          <w:r>
                            <w:rPr>
                              <w:sz w:val="16"/>
                            </w:rPr>
                            <w:t>Guidance:</w:t>
                          </w:r>
                          <w:r>
                            <w:rPr>
                              <w:spacing w:val="-7"/>
                              <w:sz w:val="16"/>
                            </w:rPr>
                            <w:t xml:space="preserve"> </w:t>
                          </w:r>
                          <w:r>
                            <w:rPr>
                              <w:sz w:val="16"/>
                            </w:rPr>
                            <w:t>OG</w:t>
                          </w:r>
                          <w:r>
                            <w:rPr>
                              <w:spacing w:val="-7"/>
                              <w:sz w:val="16"/>
                            </w:rPr>
                            <w:t xml:space="preserve"> </w:t>
                          </w:r>
                          <w:r>
                            <w:rPr>
                              <w:sz w:val="16"/>
                            </w:rPr>
                            <w:t>09-</w:t>
                          </w:r>
                          <w:r>
                            <w:rPr>
                              <w:spacing w:val="-4"/>
                              <w:sz w:val="16"/>
                            </w:rPr>
                            <w:t>2022</w:t>
                          </w:r>
                        </w:p>
                        <w:p w14:paraId="4159697F" w14:textId="77777777" w:rsidR="004F23DE" w:rsidRDefault="005D2875">
                          <w:pPr>
                            <w:spacing w:line="183" w:lineRule="exact"/>
                            <w:ind w:right="18"/>
                            <w:jc w:val="right"/>
                            <w:rPr>
                              <w:sz w:val="16"/>
                            </w:rPr>
                          </w:pPr>
                          <w:r>
                            <w:rPr>
                              <w:sz w:val="16"/>
                            </w:rPr>
                            <w:t>Attachment</w:t>
                          </w:r>
                          <w:r>
                            <w:rPr>
                              <w:spacing w:val="-10"/>
                              <w:sz w:val="16"/>
                            </w:rPr>
                            <w:t xml:space="preserve"> 1</w:t>
                          </w:r>
                        </w:p>
                        <w:p w14:paraId="1E310388" w14:textId="77777777" w:rsidR="004F23DE" w:rsidRDefault="005D2875">
                          <w:pPr>
                            <w:spacing w:line="183" w:lineRule="exact"/>
                            <w:ind w:right="18"/>
                            <w:jc w:val="right"/>
                            <w:rPr>
                              <w:sz w:val="16"/>
                            </w:rPr>
                          </w:pPr>
                          <w:r>
                            <w:rPr>
                              <w:sz w:val="16"/>
                            </w:rPr>
                            <w:t>Page</w:t>
                          </w:r>
                          <w:r>
                            <w:rPr>
                              <w:spacing w:val="-3"/>
                              <w:sz w:val="16"/>
                            </w:rPr>
                            <w:t xml:space="preserve"> </w:t>
                          </w:r>
                          <w:r>
                            <w:rPr>
                              <w:sz w:val="16"/>
                            </w:rPr>
                            <w:fldChar w:fldCharType="begin"/>
                          </w:r>
                          <w:r>
                            <w:rPr>
                              <w:sz w:val="16"/>
                            </w:rPr>
                            <w:instrText xml:space="preserve"> PAGE </w:instrText>
                          </w:r>
                          <w:r>
                            <w:rPr>
                              <w:sz w:val="16"/>
                            </w:rPr>
                            <w:fldChar w:fldCharType="separate"/>
                          </w:r>
                          <w:r>
                            <w:rPr>
                              <w:sz w:val="16"/>
                            </w:rPr>
                            <w:t>2</w:t>
                          </w:r>
                          <w:r>
                            <w:rPr>
                              <w:sz w:val="16"/>
                            </w:rPr>
                            <w:fldChar w:fldCharType="end"/>
                          </w:r>
                          <w:r>
                            <w:rPr>
                              <w:sz w:val="16"/>
                            </w:rPr>
                            <w:t xml:space="preserve"> of</w:t>
                          </w:r>
                          <w:r>
                            <w:rPr>
                              <w:spacing w:val="-2"/>
                              <w:sz w:val="16"/>
                            </w:rPr>
                            <w:t xml:space="preserve"> </w:t>
                          </w:r>
                          <w:r>
                            <w:rPr>
                              <w:spacing w:val="-10"/>
                              <w:sz w:val="16"/>
                            </w:rPr>
                            <w:fldChar w:fldCharType="begin"/>
                          </w:r>
                          <w:r>
                            <w:rPr>
                              <w:spacing w:val="-10"/>
                              <w:sz w:val="16"/>
                            </w:rPr>
                            <w:instrText xml:space="preserve"> NUMPAGES </w:instrText>
                          </w:r>
                          <w:r>
                            <w:rPr>
                              <w:spacing w:val="-10"/>
                              <w:sz w:val="16"/>
                            </w:rPr>
                            <w:fldChar w:fldCharType="separate"/>
                          </w:r>
                          <w:r>
                            <w:rPr>
                              <w:spacing w:val="-10"/>
                              <w:sz w:val="16"/>
                            </w:rPr>
                            <w:t>5</w:t>
                          </w:r>
                          <w:r>
                            <w:rPr>
                              <w:spacing w:val="-10"/>
                              <w:sz w:val="16"/>
                            </w:rPr>
                            <w:fldChar w:fldCharType="end"/>
                          </w:r>
                        </w:p>
                      </w:txbxContent>
                    </wps:txbx>
                    <wps:bodyPr wrap="square" lIns="0" tIns="0" rIns="0" bIns="0" rtlCol="0">
                      <a:noAutofit/>
                    </wps:bodyPr>
                  </wps:wsp>
                </a:graphicData>
              </a:graphic>
            </wp:anchor>
          </w:drawing>
        </mc:Choice>
        <mc:Fallback>
          <w:pict>
            <v:shapetype w14:anchorId="5C6DA39D" id="_x0000_t202" coordsize="21600,21600" o:spt="202" path="m,l,21600r21600,l21600,xe">
              <v:stroke joinstyle="miter"/>
              <v:path gradientshapeok="t" o:connecttype="rect"/>
            </v:shapetype>
            <v:shape id="Textbox 1" o:spid="_x0000_s1026" type="#_x0000_t202" style="position:absolute;margin-left:424.25pt;margin-top:727.55pt;width:116.95pt;height:29.3pt;z-index:-1581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" filled="f" stroked="f">
              <v:textbox inset="0,0,0,0">
                <w:txbxContent>
                  <w:p w14:paraId="7E19DDA8" w14:textId="77777777" w:rsidR="004F23DE" w:rsidRDefault="005D2875">
                    <w:pPr>
                      <w:spacing w:before="14"/>
                      <w:ind w:right="18"/>
                      <w:jc w:val="right"/>
                      <w:rPr>
                        <w:sz w:val="16"/>
                      </w:rPr>
                    </w:pPr>
                    <w:r>
                      <w:rPr>
                        <w:sz w:val="16"/>
                      </w:rPr>
                      <w:t>Operational</w:t>
                    </w:r>
                    <w:r>
                      <w:rPr>
                        <w:spacing w:val="-9"/>
                        <w:sz w:val="16"/>
                      </w:rPr>
                      <w:t xml:space="preserve"> </w:t>
                    </w:r>
                    <w:r>
                      <w:rPr>
                        <w:sz w:val="16"/>
                      </w:rPr>
                      <w:t>Guidance:</w:t>
                    </w:r>
                    <w:r>
                      <w:rPr>
                        <w:spacing w:val="-7"/>
                        <w:sz w:val="16"/>
                      </w:rPr>
                      <w:t xml:space="preserve"> </w:t>
                    </w:r>
                    <w:r>
                      <w:rPr>
                        <w:sz w:val="16"/>
                      </w:rPr>
                      <w:t>OG</w:t>
                    </w:r>
                    <w:r>
                      <w:rPr>
                        <w:spacing w:val="-7"/>
                        <w:sz w:val="16"/>
                      </w:rPr>
                      <w:t xml:space="preserve"> </w:t>
                    </w:r>
                    <w:r>
                      <w:rPr>
                        <w:sz w:val="16"/>
                      </w:rPr>
                      <w:t>09-</w:t>
                    </w:r>
                    <w:r>
                      <w:rPr>
                        <w:spacing w:val="-4"/>
                        <w:sz w:val="16"/>
                      </w:rPr>
                      <w:t>2022</w:t>
                    </w:r>
                  </w:p>
                  <w:p w14:paraId="4159697F" w14:textId="77777777" w:rsidR="004F23DE" w:rsidRDefault="005D2875">
                    <w:pPr>
                      <w:spacing w:line="183" w:lineRule="exact"/>
                      <w:ind w:right="18"/>
                      <w:jc w:val="right"/>
                      <w:rPr>
                        <w:sz w:val="16"/>
                      </w:rPr>
                    </w:pPr>
                    <w:r>
                      <w:rPr>
                        <w:sz w:val="16"/>
                      </w:rPr>
                      <w:t>Attachment</w:t>
                    </w:r>
                    <w:r>
                      <w:rPr>
                        <w:spacing w:val="-10"/>
                        <w:sz w:val="16"/>
                      </w:rPr>
                      <w:t xml:space="preserve"> 1</w:t>
                    </w:r>
                  </w:p>
                  <w:p w14:paraId="1E310388" w14:textId="77777777" w:rsidR="004F23DE" w:rsidRDefault="005D2875">
                    <w:pPr>
                      <w:spacing w:line="183" w:lineRule="exact"/>
                      <w:ind w:right="18"/>
                      <w:jc w:val="right"/>
                      <w:rPr>
                        <w:sz w:val="16"/>
                      </w:rPr>
                    </w:pPr>
                    <w:r>
                      <w:rPr>
                        <w:sz w:val="16"/>
                      </w:rPr>
                      <w:t>Page</w:t>
                    </w:r>
                    <w:r>
                      <w:rPr>
                        <w:spacing w:val="-3"/>
                        <w:sz w:val="16"/>
                      </w:rPr>
                      <w:t xml:space="preserve"> </w:t>
                    </w:r>
                    <w:r>
                      <w:rPr>
                        <w:sz w:val="16"/>
                      </w:rPr>
                      <w:fldChar w:fldCharType="begin"/>
                    </w:r>
                    <w:r>
                      <w:rPr>
                        <w:sz w:val="16"/>
                      </w:rPr>
                      <w:instrText xml:space="preserve"> PAGE </w:instrText>
                    </w:r>
                    <w:r>
                      <w:rPr>
                        <w:sz w:val="16"/>
                      </w:rPr>
                      <w:fldChar w:fldCharType="separate"/>
                    </w:r>
                    <w:r>
                      <w:rPr>
                        <w:sz w:val="16"/>
                      </w:rPr>
                      <w:t>2</w:t>
                    </w:r>
                    <w:r>
                      <w:rPr>
                        <w:sz w:val="16"/>
                      </w:rPr>
                      <w:fldChar w:fldCharType="end"/>
                    </w:r>
                    <w:r>
                      <w:rPr>
                        <w:sz w:val="16"/>
                      </w:rPr>
                      <w:t xml:space="preserve"> of</w:t>
                    </w:r>
                    <w:r>
                      <w:rPr>
                        <w:spacing w:val="-2"/>
                        <w:sz w:val="16"/>
                      </w:rPr>
                      <w:t xml:space="preserve"> </w:t>
                    </w:r>
                    <w:r>
                      <w:rPr>
                        <w:spacing w:val="-10"/>
                        <w:sz w:val="16"/>
                      </w:rPr>
                      <w:fldChar w:fldCharType="begin"/>
                    </w:r>
                    <w:r>
                      <w:rPr>
                        <w:spacing w:val="-10"/>
                        <w:sz w:val="16"/>
                      </w:rPr>
                      <w:instrText xml:space="preserve"> NUMPAGES </w:instrText>
                    </w:r>
                    <w:r>
                      <w:rPr>
                        <w:spacing w:val="-10"/>
                        <w:sz w:val="16"/>
                      </w:rPr>
                      <w:fldChar w:fldCharType="separate"/>
                    </w:r>
                    <w:r>
                      <w:rPr>
                        <w:spacing w:val="-10"/>
                        <w:sz w:val="16"/>
                      </w:rPr>
                      <w:t>5</w:t>
                    </w:r>
                    <w:r>
                      <w:rPr>
                        <w:spacing w:val="-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6609A" w14:textId="77777777" w:rsidR="005D2875" w:rsidRDefault="005D2875">
      <w:r>
        <w:separator/>
      </w:r>
    </w:p>
  </w:footnote>
  <w:footnote w:type="continuationSeparator" w:id="0">
    <w:p w14:paraId="156ACA58" w14:textId="77777777" w:rsidR="005D2875" w:rsidRDefault="005D28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24605" w14:textId="3AA0061D" w:rsidR="00450D13" w:rsidRDefault="00450D13">
    <w:pPr>
      <w:pStyle w:val="Header"/>
    </w:pPr>
    <w:r>
      <w:rPr>
        <w:noProof/>
      </w:rPr>
      <w:pict w14:anchorId="4E5554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6030454" o:spid="_x0000_s2050" type="#_x0000_t136" style="position:absolute;margin-left:0;margin-top:0;width:552.7pt;height:157.9pt;rotation:315;z-index:-15808512;mso-position-horizontal:center;mso-position-horizontal-relative:margin;mso-position-vertical:center;mso-position-vertical-relative:margin" o:allowincell="f" fillcolor="#e00" stroked="f">
          <v:fill opacity=".5"/>
          <v:textpath style="font-family:&quot;Times New Roman&quot;;font-size:1pt" string="Expired"/>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CBC66" w14:textId="3AC7FA61" w:rsidR="00450D13" w:rsidRDefault="00450D13">
    <w:pPr>
      <w:pStyle w:val="Header"/>
    </w:pPr>
    <w:r>
      <w:rPr>
        <w:noProof/>
      </w:rPr>
      <w:pict w14:anchorId="289A19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6030455" o:spid="_x0000_s2051" type="#_x0000_t136" style="position:absolute;margin-left:0;margin-top:0;width:552.7pt;height:157.9pt;rotation:315;z-index:-15806464;mso-position-horizontal:center;mso-position-horizontal-relative:margin;mso-position-vertical:center;mso-position-vertical-relative:margin" o:allowincell="f" fillcolor="#e00" stroked="f">
          <v:fill opacity=".5"/>
          <v:textpath style="font-family:&quot;Times New Roman&quot;;font-size:1pt" string="Expired"/>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C4660" w14:textId="138F9BAC" w:rsidR="00450D13" w:rsidRDefault="00450D13">
    <w:pPr>
      <w:pStyle w:val="Header"/>
    </w:pPr>
    <w:r>
      <w:rPr>
        <w:noProof/>
      </w:rPr>
      <w:pict w14:anchorId="4A8962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6030453" o:spid="_x0000_s2049" type="#_x0000_t136" style="position:absolute;margin-left:0;margin-top:0;width:552.7pt;height:157.9pt;rotation:315;z-index:-15810560;mso-position-horizontal:center;mso-position-horizontal-relative:margin;mso-position-vertical:center;mso-position-vertical-relative:margin" o:allowincell="f" fillcolor="#e00" stroked="f">
          <v:fill opacity=".5"/>
          <v:textpath style="font-family:&quot;Times New Roman&quot;;font-size:1pt" string="Expired"/>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AB81A" w14:textId="49B204CC" w:rsidR="00450D13" w:rsidRDefault="00450D13">
    <w:pPr>
      <w:pStyle w:val="Header"/>
    </w:pPr>
    <w:r>
      <w:rPr>
        <w:noProof/>
      </w:rPr>
      <w:pict w14:anchorId="4B9261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6030457" o:spid="_x0000_s2053" type="#_x0000_t136" style="position:absolute;margin-left:0;margin-top:0;width:552.7pt;height:157.9pt;rotation:315;z-index:-15802368;mso-position-horizontal:center;mso-position-horizontal-relative:margin;mso-position-vertical:center;mso-position-vertical-relative:margin" o:allowincell="f" fillcolor="#e00" stroked="f">
          <v:fill opacity=".5"/>
          <v:textpath style="font-family:&quot;Times New Roman&quot;;font-size:1pt" string="Expired"/>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2B0ED" w14:textId="64D8D04B" w:rsidR="00450D13" w:rsidRDefault="00450D13">
    <w:pPr>
      <w:pStyle w:val="Header"/>
    </w:pPr>
    <w:r>
      <w:rPr>
        <w:noProof/>
      </w:rPr>
      <w:pict w14:anchorId="3D2C3A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6030458" o:spid="_x0000_s2054" type="#_x0000_t136" style="position:absolute;margin-left:0;margin-top:0;width:552.7pt;height:157.9pt;rotation:315;z-index:-15800320;mso-position-horizontal:center;mso-position-horizontal-relative:margin;mso-position-vertical:center;mso-position-vertical-relative:margin" o:allowincell="f" fillcolor="#e00" stroked="f">
          <v:fill opacity=".5"/>
          <v:textpath style="font-family:&quot;Times New Roman&quot;;font-size:1pt" string="Expired"/>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00CBD" w14:textId="7E92EC51" w:rsidR="00450D13" w:rsidRDefault="00450D13">
    <w:pPr>
      <w:pStyle w:val="Header"/>
    </w:pPr>
    <w:r>
      <w:rPr>
        <w:noProof/>
      </w:rPr>
      <w:pict w14:anchorId="222849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6030456" o:spid="_x0000_s2052" type="#_x0000_t136" style="position:absolute;margin-left:0;margin-top:0;width:552.7pt;height:157.9pt;rotation:315;z-index:-15804416;mso-position-horizontal:center;mso-position-horizontal-relative:margin;mso-position-vertical:center;mso-position-vertical-relative:margin" o:allowincell="f" fillcolor="#e00" stroked="f">
          <v:fill opacity=".5"/>
          <v:textpath style="font-family:&quot;Times New Roman&quot;;font-size:1pt" string="Expired"/>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F23DE"/>
    <w:rsid w:val="003F40D3"/>
    <w:rsid w:val="00450D13"/>
    <w:rsid w:val="004F23DE"/>
    <w:rsid w:val="005D2875"/>
    <w:rsid w:val="00D54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1B82E3D5"/>
  <w15:docId w15:val="{74A1BF2B-CDBF-46F4-A709-E594B344D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ind w:left="1478" w:right="1474" w:hanging="1"/>
      <w:jc w:val="center"/>
      <w:outlineLvl w:val="0"/>
    </w:pPr>
    <w:rPr>
      <w:b/>
      <w:bCs/>
      <w:sz w:val="52"/>
      <w:szCs w:val="52"/>
    </w:rPr>
  </w:style>
  <w:style w:type="paragraph" w:styleId="Heading2">
    <w:name w:val="heading 2"/>
    <w:basedOn w:val="Normal"/>
    <w:uiPriority w:val="9"/>
    <w:unhideWhenUsed/>
    <w:qFormat/>
    <w:pPr>
      <w:spacing w:before="1"/>
      <w:ind w:left="554" w:right="552"/>
      <w:jc w:val="center"/>
      <w:outlineLvl w:val="1"/>
    </w:pPr>
    <w:rPr>
      <w:b/>
      <w:bCs/>
      <w:sz w:val="48"/>
      <w:szCs w:val="48"/>
    </w:rPr>
  </w:style>
  <w:style w:type="paragraph" w:styleId="Heading3">
    <w:name w:val="heading 3"/>
    <w:basedOn w:val="Normal"/>
    <w:uiPriority w:val="9"/>
    <w:unhideWhenUsed/>
    <w:qFormat/>
    <w:pPr>
      <w:spacing w:before="78"/>
      <w:ind w:left="360"/>
      <w:outlineLvl w:val="2"/>
    </w:pPr>
    <w:rPr>
      <w:b/>
      <w:bCs/>
      <w:sz w:val="28"/>
      <w:szCs w:val="28"/>
    </w:rPr>
  </w:style>
  <w:style w:type="paragraph" w:styleId="Heading4">
    <w:name w:val="heading 4"/>
    <w:basedOn w:val="Normal"/>
    <w:uiPriority w:val="9"/>
    <w:unhideWhenUsed/>
    <w:qFormat/>
    <w:pPr>
      <w:spacing w:line="274" w:lineRule="exact"/>
      <w:ind w:left="360"/>
      <w:jc w:val="both"/>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70"/>
      <w:ind w:left="50"/>
    </w:pPr>
  </w:style>
  <w:style w:type="paragraph" w:styleId="Header">
    <w:name w:val="header"/>
    <w:basedOn w:val="Normal"/>
    <w:link w:val="HeaderChar"/>
    <w:uiPriority w:val="99"/>
    <w:unhideWhenUsed/>
    <w:rsid w:val="00450D13"/>
    <w:pPr>
      <w:tabs>
        <w:tab w:val="center" w:pos="4680"/>
        <w:tab w:val="right" w:pos="9360"/>
      </w:tabs>
    </w:pPr>
  </w:style>
  <w:style w:type="character" w:customStyle="1" w:styleId="HeaderChar">
    <w:name w:val="Header Char"/>
    <w:basedOn w:val="DefaultParagraphFont"/>
    <w:link w:val="Header"/>
    <w:uiPriority w:val="99"/>
    <w:rsid w:val="00450D13"/>
    <w:rPr>
      <w:rFonts w:ascii="Times New Roman" w:eastAsia="Times New Roman" w:hAnsi="Times New Roman" w:cs="Times New Roman"/>
    </w:rPr>
  </w:style>
  <w:style w:type="paragraph" w:styleId="Footer">
    <w:name w:val="footer"/>
    <w:basedOn w:val="Normal"/>
    <w:link w:val="FooterChar"/>
    <w:uiPriority w:val="99"/>
    <w:unhideWhenUsed/>
    <w:rsid w:val="00450D13"/>
    <w:pPr>
      <w:tabs>
        <w:tab w:val="center" w:pos="4680"/>
        <w:tab w:val="right" w:pos="9360"/>
      </w:tabs>
    </w:pPr>
  </w:style>
  <w:style w:type="character" w:customStyle="1" w:styleId="FooterChar">
    <w:name w:val="Footer Char"/>
    <w:basedOn w:val="DefaultParagraphFont"/>
    <w:link w:val="Footer"/>
    <w:uiPriority w:val="99"/>
    <w:rsid w:val="00450D1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hyperlink" Target="https://strategies.workforcegps.org/" TargetMode="Externa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hyperlink" Target="mailto:rdoles@commerce.nc.gov" TargetMode="External"/><Relationship Id="rId2" Type="http://schemas.openxmlformats.org/officeDocument/2006/relationships/settings" Target="settings.xml"/><Relationship Id="rId16" Type="http://schemas.openxmlformats.org/officeDocument/2006/relationships/hyperlink" Target="mailto:rdoles@commerce.nc.gov"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eader" Target="header6.xm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1248</Words>
  <Characters>7115</Characters>
  <Application>Microsoft Office Word</Application>
  <DocSecurity>0</DocSecurity>
  <Lines>59</Lines>
  <Paragraphs>16</Paragraphs>
  <ScaleCrop>false</ScaleCrop>
  <Company/>
  <LinksUpToDate>false</LinksUpToDate>
  <CharactersWithSpaces>8347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A</dc:title>
  <dc:creator>ygerman</dc:creator>
  <cp:lastModifiedBy>Cassar, Salvatore</cp:lastModifiedBy>
  <cp:revision>3</cp:revision>
  <dcterms:created xsi:type="dcterms:W3CDTF">2026-03-10T17:44:00Z</dcterms:created>
  <dcterms:modified xsi:type="dcterms:W3CDTF">2026-05-11T15:59:00Z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2022-12-07T00:00:00Z</vt:filetime>
  </property>
  <property fmtid="{D5CDD505-2E9C-101B-9397-08002B2CF9AE}" pid="3" name="Creator">
    <vt:lpwstr>Microsoft® Word 2013</vt:lpwstr>
  </property>
  <property fmtid="{D5CDD505-2E9C-101B-9397-08002B2CF9AE}" pid="4" name="LastSaved">
    <vt:filetime>2026-03-10T00:00:00Z</vt:filetime>
  </property>
  <property fmtid="{D5CDD505-2E9C-101B-9397-08002B2CF9AE}" pid="5" name="Producer">
    <vt:lpwstr>Microsoft® Word 2013</vt:lpwstr>
  </property>
</Properties>
</file>