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8240"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40D4C" w14:textId="372F0F10" w:rsidR="007F7DA6" w:rsidRPr="003D62B7" w:rsidRDefault="00892532" w:rsidP="244EE8AE">
      <w:pPr>
        <w:pStyle w:val="Title"/>
        <w:tabs>
          <w:tab w:val="left" w:pos="1935"/>
        </w:tabs>
        <w:ind w:left="720" w:firstLine="720"/>
        <w:rPr>
          <w:rFonts w:ascii="Times New Roman" w:hAnsi="Times New Roman" w:cs="Times New Roman"/>
          <w:b/>
          <w:bCs/>
          <w:sz w:val="28"/>
          <w:szCs w:val="28"/>
        </w:rPr>
      </w:pPr>
      <w:r>
        <w:rPr>
          <w:rFonts w:ascii="Times New Roman" w:hAnsi="Times New Roman" w:cs="Times New Roman"/>
          <w:sz w:val="36"/>
          <w:szCs w:val="36"/>
        </w:rPr>
        <w:t xml:space="preserve"> </w:t>
      </w:r>
      <w:r w:rsidR="00005CDC">
        <w:rPr>
          <w:rFonts w:ascii="Times New Roman" w:hAnsi="Times New Roman" w:cs="Times New Roman"/>
          <w:sz w:val="36"/>
          <w:szCs w:val="36"/>
        </w:rPr>
        <w:t xml:space="preserve">  </w:t>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w:t>
      </w:r>
      <w:r w:rsidR="007726AA">
        <w:tab/>
      </w:r>
      <w:r w:rsidR="00BC4FAE">
        <w:rPr>
          <w:rFonts w:ascii="Times New Roman" w:hAnsi="Times New Roman" w:cs="Times New Roman"/>
          <w:b/>
          <w:bCs/>
          <w:sz w:val="28"/>
          <w:szCs w:val="28"/>
        </w:rPr>
        <w:tab/>
      </w:r>
      <w:r w:rsidR="0BBD293A">
        <w:rPr>
          <w:rFonts w:ascii="Times New Roman" w:hAnsi="Times New Roman" w:cs="Times New Roman"/>
          <w:b/>
          <w:bCs/>
          <w:sz w:val="28"/>
          <w:szCs w:val="28"/>
        </w:rPr>
        <w:t xml:space="preserve">              </w:t>
      </w:r>
    </w:p>
    <w:p w14:paraId="7AD0FFF9" w14:textId="2361ADC9" w:rsidR="007F7DA6" w:rsidRPr="003D62B7" w:rsidRDefault="4DDA69F6" w:rsidP="244EE8AE">
      <w:pPr>
        <w:pStyle w:val="Title"/>
        <w:tabs>
          <w:tab w:val="left" w:pos="1935"/>
        </w:tabs>
        <w:ind w:left="720" w:firstLine="720"/>
        <w:rPr>
          <w:rFonts w:ascii="Times New Roman" w:hAnsi="Times New Roman" w:cs="Times New Roman"/>
          <w:b/>
          <w:bCs/>
          <w:sz w:val="28"/>
          <w:szCs w:val="28"/>
        </w:rPr>
      </w:pPr>
      <w:r w:rsidRPr="03B2600A">
        <w:rPr>
          <w:rFonts w:ascii="Times New Roman" w:hAnsi="Times New Roman" w:cs="Times New Roman"/>
          <w:b/>
          <w:bCs/>
          <w:sz w:val="28"/>
          <w:szCs w:val="28"/>
        </w:rPr>
        <w:t xml:space="preserve"> </w:t>
      </w:r>
      <w:r w:rsidR="00005CDC">
        <w:rPr>
          <w:rFonts w:ascii="Times New Roman" w:hAnsi="Times New Roman" w:cs="Times New Roman"/>
          <w:b/>
          <w:bCs/>
          <w:sz w:val="28"/>
          <w:szCs w:val="28"/>
        </w:rPr>
        <w:t xml:space="preserve">   </w:t>
      </w:r>
      <w:r w:rsidR="00BC4FAE">
        <w:rPr>
          <w:rFonts w:ascii="Times New Roman" w:hAnsi="Times New Roman" w:cs="Times New Roman"/>
          <w:b/>
          <w:bCs/>
          <w:sz w:val="28"/>
          <w:szCs w:val="28"/>
        </w:rPr>
        <w:t>Operational 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D35C3F">
        <w:rPr>
          <w:rFonts w:ascii="Times New Roman" w:hAnsi="Times New Roman" w:cs="Times New Roman"/>
          <w:b/>
          <w:bCs/>
          <w:sz w:val="28"/>
          <w:szCs w:val="28"/>
        </w:rPr>
        <w:t>0</w:t>
      </w:r>
      <w:r w:rsidR="178345AC">
        <w:rPr>
          <w:rFonts w:ascii="Times New Roman" w:hAnsi="Times New Roman" w:cs="Times New Roman"/>
          <w:b/>
          <w:bCs/>
          <w:sz w:val="28"/>
          <w:szCs w:val="28"/>
        </w:rPr>
        <w:t>1</w:t>
      </w:r>
      <w:r w:rsidR="00661047" w:rsidRPr="003D62B7">
        <w:rPr>
          <w:rFonts w:ascii="Times New Roman" w:hAnsi="Times New Roman" w:cs="Times New Roman"/>
          <w:b/>
          <w:bCs/>
          <w:sz w:val="28"/>
          <w:szCs w:val="28"/>
        </w:rPr>
        <w:t>-</w:t>
      </w:r>
      <w:r w:rsidR="00FD0E87">
        <w:rPr>
          <w:rFonts w:ascii="Times New Roman" w:hAnsi="Times New Roman" w:cs="Times New Roman"/>
          <w:b/>
          <w:bCs/>
          <w:sz w:val="28"/>
          <w:szCs w:val="28"/>
        </w:rPr>
        <w:t>2026</w:t>
      </w:r>
    </w:p>
    <w:p w14:paraId="49BCD8F1" w14:textId="77777777" w:rsidR="007726AA" w:rsidRDefault="007726AA" w:rsidP="006662FB">
      <w:pPr>
        <w:rPr>
          <w:rFonts w:ascii="Times New Roman" w:hAnsi="Times New Roman" w:cs="Times New Roman"/>
          <w:b/>
          <w:bCs/>
        </w:rPr>
      </w:pPr>
    </w:p>
    <w:p w14:paraId="5733E6D4" w14:textId="4AC67DAB"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FD0E87">
        <w:rPr>
          <w:rFonts w:ascii="Times New Roman" w:hAnsi="Times New Roman" w:cs="Times New Roman"/>
        </w:rPr>
        <w:t xml:space="preserve">April </w:t>
      </w:r>
      <w:r w:rsidR="000A2A5C">
        <w:rPr>
          <w:rFonts w:ascii="Times New Roman" w:hAnsi="Times New Roman" w:cs="Times New Roman"/>
        </w:rPr>
        <w:t>30</w:t>
      </w:r>
      <w:r w:rsidR="00FD0E87">
        <w:rPr>
          <w:rFonts w:ascii="Times New Roman" w:hAnsi="Times New Roman" w:cs="Times New Roman"/>
        </w:rPr>
        <w:t>, 2026</w:t>
      </w:r>
    </w:p>
    <w:p w14:paraId="7D2B26EF" w14:textId="0492471A" w:rsidR="006662FB" w:rsidRPr="00005CDC" w:rsidRDefault="006662FB" w:rsidP="685D394C">
      <w:pPr>
        <w:pStyle w:val="NoSpacing"/>
        <w:jc w:val="both"/>
        <w:rPr>
          <w:rFonts w:ascii="Times New Roman" w:hAnsi="Times New Roman" w:cs="Times New Roman"/>
        </w:rPr>
      </w:pPr>
      <w:r w:rsidRPr="3184E7DE">
        <w:rPr>
          <w:rFonts w:ascii="Times New Roman" w:eastAsia="Times New Roman" w:hAnsi="Times New Roman" w:cs="Times New Roman"/>
          <w:b/>
          <w:bCs/>
        </w:rPr>
        <w:t>Subject</w:t>
      </w:r>
      <w:r w:rsidRPr="3184E7DE">
        <w:rPr>
          <w:b/>
          <w:bCs/>
        </w:rPr>
        <w:t>:</w:t>
      </w:r>
      <w:r>
        <w:t xml:space="preserve"> </w:t>
      </w:r>
      <w:r w:rsidR="00FD0E87" w:rsidRPr="00005CDC">
        <w:rPr>
          <w:rFonts w:ascii="Times New Roman" w:hAnsi="Times New Roman" w:cs="Times New Roman"/>
        </w:rPr>
        <w:t>Local Workforce Development Board</w:t>
      </w:r>
      <w:r w:rsidR="00005CDC" w:rsidRPr="00005CDC">
        <w:rPr>
          <w:rFonts w:ascii="Times New Roman" w:hAnsi="Times New Roman" w:cs="Times New Roman"/>
        </w:rPr>
        <w:t xml:space="preserve"> </w:t>
      </w:r>
      <w:r w:rsidR="506442CC" w:rsidRPr="00005CDC">
        <w:rPr>
          <w:rFonts w:ascii="Times New Roman" w:hAnsi="Times New Roman" w:cs="Times New Roman"/>
        </w:rPr>
        <w:t>Employer</w:t>
      </w:r>
      <w:r w:rsidR="00FD0E87" w:rsidRPr="00005CDC">
        <w:rPr>
          <w:rFonts w:ascii="Times New Roman" w:hAnsi="Times New Roman" w:cs="Times New Roman"/>
        </w:rPr>
        <w:t> Engagement Grants for Program Year (PY) 2026</w:t>
      </w:r>
    </w:p>
    <w:p w14:paraId="2A890C90" w14:textId="3D669817" w:rsidR="03B2600A" w:rsidRDefault="03B2600A" w:rsidP="03B2600A">
      <w:pPr>
        <w:pStyle w:val="NoSpacing"/>
      </w:pPr>
    </w:p>
    <w:p w14:paraId="2523643D" w14:textId="0723D0F2"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w:t>
      </w:r>
      <w:r w:rsidR="436E0B65" w:rsidRPr="03B2600A">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743084B" w14:textId="14832734" w:rsidR="00FD0E87" w:rsidRPr="00A33ADB" w:rsidRDefault="006662FB" w:rsidP="03B2600A">
      <w:pPr>
        <w:spacing w:line="276" w:lineRule="auto"/>
        <w:ind w:left="2160" w:hanging="2160"/>
        <w:jc w:val="both"/>
        <w:rPr>
          <w:rFonts w:ascii="Times New Roman" w:hAnsi="Times New Roman" w:cs="Times New Roman"/>
          <w:b/>
          <w:bCs/>
          <w:color w:val="000000" w:themeColor="text1"/>
        </w:rPr>
      </w:pPr>
      <w:r w:rsidRPr="00BC4FAE">
        <w:rPr>
          <w:rFonts w:ascii="Times New Roman" w:hAnsi="Times New Roman" w:cs="Times New Roman"/>
          <w:b/>
          <w:bCs/>
          <w:color w:val="000000" w:themeColor="text1"/>
        </w:rPr>
        <w:t>Purpose:</w:t>
      </w:r>
      <w:r w:rsidR="00892532">
        <w:tab/>
      </w:r>
    </w:p>
    <w:p w14:paraId="5AEBFE66" w14:textId="78C1A605" w:rsidR="00FD0E87" w:rsidRPr="00A33ADB" w:rsidRDefault="00FD0E87" w:rsidP="00005CDC">
      <w:pPr>
        <w:pStyle w:val="NoSpacing"/>
        <w:rPr>
          <w:rFonts w:ascii="Times New Roman" w:eastAsia="Times New Roman" w:hAnsi="Times New Roman" w:cs="Times New Roman"/>
        </w:rPr>
      </w:pPr>
      <w:r w:rsidRPr="03B2600A">
        <w:rPr>
          <w:rFonts w:ascii="Times New Roman" w:eastAsia="Times New Roman" w:hAnsi="Times New Roman" w:cs="Times New Roman"/>
        </w:rPr>
        <w:t>To provide guidance and funding in the form of Employer Engagement Grants to Local Workforce Development Boards (WDBs) to support the Governor’s Council on Workforce and Apprenticeships (the Council) goal to engage with 50,000 employers.</w:t>
      </w:r>
    </w:p>
    <w:p w14:paraId="200BD793" w14:textId="169EB6D5" w:rsidR="03B2600A" w:rsidRDefault="03B2600A" w:rsidP="03B2600A">
      <w:pPr>
        <w:pStyle w:val="NoSpacing"/>
      </w:pPr>
    </w:p>
    <w:p w14:paraId="597DABE4" w14:textId="37CBAEF8" w:rsidR="00FD0E87" w:rsidRDefault="006662FB" w:rsidP="03B2600A">
      <w:pPr>
        <w:spacing w:line="276" w:lineRule="auto"/>
        <w:ind w:left="2160" w:hanging="2160"/>
        <w:jc w:val="both"/>
        <w:rPr>
          <w:rFonts w:ascii="Times New Roman" w:hAnsi="Times New Roman" w:cs="Times New Roman"/>
          <w:b/>
          <w:bCs/>
          <w:color w:val="000000" w:themeColor="text1"/>
        </w:rPr>
      </w:pPr>
      <w:r w:rsidRPr="00BC4FAE">
        <w:rPr>
          <w:rFonts w:ascii="Times New Roman" w:hAnsi="Times New Roman" w:cs="Times New Roman"/>
          <w:b/>
          <w:bCs/>
          <w:color w:val="000000" w:themeColor="text1"/>
        </w:rPr>
        <w:t>Background:</w:t>
      </w:r>
      <w:r>
        <w:tab/>
      </w:r>
    </w:p>
    <w:p w14:paraId="4FAB60F7" w14:textId="2830710A" w:rsidR="00FD0E87" w:rsidRDefault="00FD0E87" w:rsidP="00005CDC">
      <w:pPr>
        <w:pStyle w:val="NoSpacing"/>
      </w:pPr>
      <w:r w:rsidRPr="4E7CB614">
        <w:rPr>
          <w:rFonts w:ascii="Times New Roman" w:eastAsia="Times New Roman" w:hAnsi="Times New Roman" w:cs="Times New Roman"/>
        </w:rPr>
        <w:t>In 2025, the Governor’s Council on Workforce and Apprenticeships released a report outlining goals and strategies to advance workforce development across North Carolina. As part of these efforts, a goal to “engage 50,000 employers to partner with The Council on achieving its goals” was established. To support this goal, a 50K Employer Engagement Campaign will be rolled out using an employer</w:t>
      </w:r>
      <w:r w:rsidR="573BF4EE" w:rsidRPr="4E7CB614">
        <w:rPr>
          <w:rFonts w:ascii="Times New Roman" w:eastAsia="Times New Roman" w:hAnsi="Times New Roman" w:cs="Times New Roman"/>
        </w:rPr>
        <w:t xml:space="preserve"> interest form </w:t>
      </w:r>
      <w:r w:rsidRPr="4E7CB614">
        <w:rPr>
          <w:rFonts w:ascii="Times New Roman" w:eastAsia="Times New Roman" w:hAnsi="Times New Roman" w:cs="Times New Roman"/>
        </w:rPr>
        <w:t xml:space="preserve"> that will connect employers to workforce system partners. </w:t>
      </w:r>
    </w:p>
    <w:p w14:paraId="38CC0496" w14:textId="35A2F66B" w:rsidR="00FD0E87" w:rsidRDefault="00FD0E87" w:rsidP="00005CDC">
      <w:pPr>
        <w:pStyle w:val="NoSpacing"/>
      </w:pPr>
    </w:p>
    <w:p w14:paraId="0E2DA83A" w14:textId="364EBB75" w:rsidR="00F843C1" w:rsidRDefault="00F843C1" w:rsidP="00005CDC">
      <w:pPr>
        <w:spacing w:line="276" w:lineRule="auto"/>
        <w:rPr>
          <w:rFonts w:ascii="Times New Roman" w:hAnsi="Times New Roman" w:cs="Times New Roman"/>
        </w:rPr>
      </w:pPr>
      <w:r w:rsidRPr="00F843C1">
        <w:rPr>
          <w:rFonts w:ascii="Times New Roman" w:hAnsi="Times New Roman" w:cs="Times New Roman"/>
        </w:rPr>
        <w:t xml:space="preserve">Engaging with businesses is a key component of business services delivery and WDBs will play an important role in supporting the engagement required to meet the Council’s goals. Grant funding will be used to help WDBs be responsive to new employer referrals and strengthen their business services teams. </w:t>
      </w:r>
    </w:p>
    <w:p w14:paraId="1C74CF3E" w14:textId="64BC21D4" w:rsidR="00F843C1" w:rsidRPr="00F843C1" w:rsidRDefault="00F843C1" w:rsidP="00005CDC">
      <w:pPr>
        <w:spacing w:line="276" w:lineRule="auto"/>
        <w:rPr>
          <w:rFonts w:ascii="Times New Roman" w:hAnsi="Times New Roman" w:cs="Times New Roman"/>
        </w:rPr>
      </w:pPr>
      <w:r w:rsidRPr="00F843C1">
        <w:rPr>
          <w:rFonts w:ascii="Times New Roman" w:hAnsi="Times New Roman" w:cs="Times New Roman"/>
        </w:rPr>
        <w:t xml:space="preserve">The Division of Workforce Solutions (DWS) will evaluate each request and award up to $50,000 to each WDB to support achievement of approved outcomes.  Funding will be used to help optimize business services delivery and provide additional support to respond to 50K Employer Engagement Campaign. This could include: </w:t>
      </w:r>
    </w:p>
    <w:p w14:paraId="483F3E1D" w14:textId="77777777" w:rsidR="00F843C1" w:rsidRDefault="00F843C1" w:rsidP="00005CDC">
      <w:pPr>
        <w:pStyle w:val="ListParagraph"/>
        <w:numPr>
          <w:ilvl w:val="0"/>
          <w:numId w:val="7"/>
        </w:numPr>
        <w:spacing w:line="276" w:lineRule="auto"/>
        <w:rPr>
          <w:rFonts w:ascii="Times New Roman" w:hAnsi="Times New Roman" w:cs="Times New Roman"/>
        </w:rPr>
      </w:pPr>
      <w:r w:rsidRPr="00F843C1">
        <w:rPr>
          <w:rFonts w:ascii="Times New Roman" w:hAnsi="Times New Roman" w:cs="Times New Roman"/>
        </w:rPr>
        <w:t xml:space="preserve">Supporting innovative models of conducting business services such as developing a partner referral system or fee for service models </w:t>
      </w:r>
    </w:p>
    <w:p w14:paraId="7EEC9CA9" w14:textId="77777777" w:rsidR="00F843C1" w:rsidRPr="00F843C1" w:rsidRDefault="00F843C1" w:rsidP="00005CDC">
      <w:pPr>
        <w:pStyle w:val="ListParagraph"/>
        <w:numPr>
          <w:ilvl w:val="0"/>
          <w:numId w:val="7"/>
        </w:numPr>
        <w:spacing w:line="276" w:lineRule="auto"/>
        <w:rPr>
          <w:rFonts w:ascii="Times New Roman" w:hAnsi="Times New Roman" w:cs="Times New Roman"/>
        </w:rPr>
      </w:pPr>
      <w:r w:rsidRPr="00F843C1">
        <w:rPr>
          <w:rFonts w:ascii="Times New Roman" w:hAnsi="Times New Roman" w:cs="Times New Roman"/>
        </w:rPr>
        <w:t xml:space="preserve">Restructuring internal business services systems to be more responsive to business needs and inclusive of external partners- examples could include staffing support or developing contracts and MOUs with external partners. </w:t>
      </w:r>
    </w:p>
    <w:p w14:paraId="56430943" w14:textId="656D4427" w:rsidR="00F843C1" w:rsidRPr="00F843C1" w:rsidRDefault="17697606" w:rsidP="00005CDC">
      <w:pPr>
        <w:pStyle w:val="ListParagraph"/>
        <w:numPr>
          <w:ilvl w:val="0"/>
          <w:numId w:val="7"/>
        </w:numPr>
        <w:spacing w:line="276" w:lineRule="auto"/>
        <w:rPr>
          <w:rFonts w:ascii="Times New Roman" w:hAnsi="Times New Roman" w:cs="Times New Roman"/>
        </w:rPr>
      </w:pPr>
      <w:r w:rsidRPr="4E5774A8">
        <w:rPr>
          <w:rFonts w:ascii="Times New Roman" w:hAnsi="Times New Roman" w:cs="Times New Roman"/>
        </w:rPr>
        <w:t xml:space="preserve">Employer </w:t>
      </w:r>
      <w:r w:rsidR="00F843C1" w:rsidRPr="00F843C1">
        <w:rPr>
          <w:rFonts w:ascii="Times New Roman" w:hAnsi="Times New Roman" w:cs="Times New Roman"/>
        </w:rPr>
        <w:t xml:space="preserve"> Engagement- facilitating convenings with employers or offering direct support </w:t>
      </w:r>
    </w:p>
    <w:p w14:paraId="64C73192" w14:textId="77777777" w:rsidR="00F843C1" w:rsidRPr="00F843C1" w:rsidRDefault="00F843C1" w:rsidP="00005CDC">
      <w:pPr>
        <w:pStyle w:val="ListParagraph"/>
        <w:numPr>
          <w:ilvl w:val="0"/>
          <w:numId w:val="7"/>
        </w:numPr>
        <w:spacing w:line="276" w:lineRule="auto"/>
        <w:rPr>
          <w:rFonts w:ascii="Times New Roman" w:hAnsi="Times New Roman" w:cs="Times New Roman"/>
        </w:rPr>
      </w:pPr>
      <w:r w:rsidRPr="00F843C1">
        <w:rPr>
          <w:rFonts w:ascii="Times New Roman" w:hAnsi="Times New Roman" w:cs="Times New Roman"/>
        </w:rPr>
        <w:t xml:space="preserve">Building local and regional staff capacity. </w:t>
      </w:r>
    </w:p>
    <w:p w14:paraId="48C58CE6" w14:textId="77777777" w:rsidR="00F843C1" w:rsidRDefault="00F843C1" w:rsidP="00005CDC">
      <w:pPr>
        <w:pStyle w:val="ListParagraph"/>
        <w:numPr>
          <w:ilvl w:val="0"/>
          <w:numId w:val="7"/>
        </w:numPr>
        <w:spacing w:line="276" w:lineRule="auto"/>
        <w:rPr>
          <w:rFonts w:ascii="Times New Roman" w:hAnsi="Times New Roman" w:cs="Times New Roman"/>
        </w:rPr>
      </w:pPr>
      <w:r w:rsidRPr="00F843C1">
        <w:rPr>
          <w:rFonts w:ascii="Times New Roman" w:hAnsi="Times New Roman" w:cs="Times New Roman"/>
        </w:rPr>
        <w:lastRenderedPageBreak/>
        <w:t>Enhancing work-based learning and apprenticeship offerings through employer convenings</w:t>
      </w:r>
    </w:p>
    <w:p w14:paraId="506EF23A" w14:textId="231AF6CD" w:rsidR="00F843C1" w:rsidRDefault="006662FB" w:rsidP="03B2600A">
      <w:pPr>
        <w:spacing w:line="276" w:lineRule="auto"/>
        <w:ind w:left="2160" w:hanging="2160"/>
        <w:jc w:val="both"/>
        <w:rPr>
          <w:rFonts w:ascii="Times New Roman" w:hAnsi="Times New Roman" w:cs="Times New Roman"/>
          <w:b/>
          <w:bCs/>
          <w:color w:val="000000" w:themeColor="text1"/>
        </w:rPr>
      </w:pPr>
      <w:r w:rsidRPr="00BC4FAE">
        <w:rPr>
          <w:rFonts w:ascii="Times New Roman" w:hAnsi="Times New Roman" w:cs="Times New Roman"/>
          <w:b/>
          <w:bCs/>
          <w:color w:val="000000" w:themeColor="text1"/>
        </w:rPr>
        <w:t xml:space="preserve">Action: </w:t>
      </w:r>
      <w:r w:rsidR="00F843C1">
        <w:tab/>
      </w:r>
    </w:p>
    <w:p w14:paraId="6513D6C8" w14:textId="5CCD0BB8" w:rsidR="00F843C1" w:rsidRDefault="00F843C1" w:rsidP="00005CDC">
      <w:pPr>
        <w:pStyle w:val="NoSpacing"/>
        <w:rPr>
          <w:rFonts w:ascii="Times New Roman" w:eastAsia="Times New Roman" w:hAnsi="Times New Roman" w:cs="Times New Roman"/>
        </w:rPr>
      </w:pPr>
      <w:r w:rsidRPr="1FDC4804">
        <w:rPr>
          <w:rFonts w:ascii="Times New Roman" w:eastAsia="Times New Roman" w:hAnsi="Times New Roman" w:cs="Times New Roman"/>
        </w:rPr>
        <w:t xml:space="preserve">WDBs may apply for Employer Engagement grants in amounts up to $50,000 (per WDB) by completing and submitting the request form (Attachment). Grant requests </w:t>
      </w:r>
      <w:r w:rsidR="00471FC5">
        <w:rPr>
          <w:rFonts w:ascii="Times New Roman" w:eastAsia="Times New Roman" w:hAnsi="Times New Roman" w:cs="Times New Roman"/>
        </w:rPr>
        <w:t xml:space="preserve">should </w:t>
      </w:r>
      <w:r w:rsidRPr="1FDC4804">
        <w:rPr>
          <w:rFonts w:ascii="Times New Roman" w:eastAsia="Times New Roman" w:hAnsi="Times New Roman" w:cs="Times New Roman"/>
        </w:rPr>
        <w:t xml:space="preserve"> be submitted</w:t>
      </w:r>
      <w:r w:rsidR="00471FC5">
        <w:rPr>
          <w:rFonts w:ascii="Times New Roman" w:eastAsia="Times New Roman" w:hAnsi="Times New Roman" w:cs="Times New Roman"/>
        </w:rPr>
        <w:t xml:space="preserve"> by July 1</w:t>
      </w:r>
      <w:r w:rsidR="008A6EA6">
        <w:rPr>
          <w:rFonts w:ascii="Times New Roman" w:eastAsia="Times New Roman" w:hAnsi="Times New Roman" w:cs="Times New Roman"/>
        </w:rPr>
        <w:t>5</w:t>
      </w:r>
      <w:r w:rsidR="00471FC5">
        <w:rPr>
          <w:rFonts w:ascii="Times New Roman" w:eastAsia="Times New Roman" w:hAnsi="Times New Roman" w:cs="Times New Roman"/>
        </w:rPr>
        <w:t xml:space="preserve">, 2026. </w:t>
      </w:r>
      <w:r w:rsidRPr="1FDC4804">
        <w:rPr>
          <w:rFonts w:ascii="Times New Roman" w:eastAsia="Times New Roman" w:hAnsi="Times New Roman" w:cs="Times New Roman"/>
        </w:rPr>
        <w:t xml:space="preserve">. </w:t>
      </w:r>
      <w:r w:rsidR="6D623E37" w:rsidRPr="1FDC4804">
        <w:rPr>
          <w:rFonts w:ascii="Times New Roman" w:eastAsia="Times New Roman" w:hAnsi="Times New Roman" w:cs="Times New Roman"/>
        </w:rPr>
        <w:t>WDB</w:t>
      </w:r>
      <w:r w:rsidRPr="1FDC4804">
        <w:rPr>
          <w:rFonts w:ascii="Times New Roman" w:eastAsia="Times New Roman" w:hAnsi="Times New Roman" w:cs="Times New Roman"/>
        </w:rPr>
        <w:t xml:space="preserve">s are encouraged to submit regional applications. These regional applications will be eligible for additional funding (up to 25%) of the total requested. For instance, if two WDBs submit a joint application they would be eligible for up to $125,000 total to be shared between the two WDBs. </w:t>
      </w:r>
    </w:p>
    <w:p w14:paraId="721AE848" w14:textId="6943683B" w:rsidR="03B2600A" w:rsidRDefault="03B2600A" w:rsidP="00005CDC">
      <w:pPr>
        <w:pStyle w:val="NoSpacing"/>
        <w:rPr>
          <w:rFonts w:ascii="Times New Roman" w:eastAsia="Times New Roman" w:hAnsi="Times New Roman" w:cs="Times New Roman"/>
        </w:rPr>
      </w:pPr>
    </w:p>
    <w:p w14:paraId="05D9F127" w14:textId="6DE67421" w:rsidR="00CD7100" w:rsidRDefault="00CD7100" w:rsidP="00005CDC">
      <w:pPr>
        <w:pStyle w:val="NoSpacing"/>
        <w:rPr>
          <w:rFonts w:ascii="Times New Roman" w:eastAsia="Times New Roman" w:hAnsi="Times New Roman" w:cs="Times New Roman"/>
        </w:rPr>
      </w:pPr>
      <w:r w:rsidRPr="1EED68A6">
        <w:rPr>
          <w:rFonts w:ascii="Times New Roman" w:eastAsia="Times New Roman" w:hAnsi="Times New Roman" w:cs="Times New Roman"/>
        </w:rPr>
        <w:t xml:space="preserve">Funding requests must include a budget, clear outcomes, and deliverables that will be met at the conclusion of the funding period. Joint applications must demonstrate how the WDBs will work together to serve their broader service area. WDBs are required to spend at least half of the grant funding by June 30, 2027, and the budget must reflect this requirement.  </w:t>
      </w:r>
      <w:r w:rsidR="1DE92CAE" w:rsidRPr="1EED68A6">
        <w:rPr>
          <w:rFonts w:ascii="Times New Roman" w:eastAsia="Times New Roman" w:hAnsi="Times New Roman" w:cs="Times New Roman"/>
        </w:rPr>
        <w:t xml:space="preserve">A </w:t>
      </w:r>
      <w:r w:rsidRPr="1EED68A6">
        <w:rPr>
          <w:rFonts w:ascii="Times New Roman" w:eastAsia="Times New Roman" w:hAnsi="Times New Roman" w:cs="Times New Roman"/>
        </w:rPr>
        <w:t>WDB</w:t>
      </w:r>
      <w:r w:rsidR="12BA6C59" w:rsidRPr="1EED68A6">
        <w:rPr>
          <w:rFonts w:ascii="Times New Roman" w:eastAsia="Times New Roman" w:hAnsi="Times New Roman" w:cs="Times New Roman"/>
        </w:rPr>
        <w:t xml:space="preserve"> representative </w:t>
      </w:r>
      <w:r w:rsidRPr="1EED68A6">
        <w:rPr>
          <w:rFonts w:ascii="Times New Roman" w:eastAsia="Times New Roman" w:hAnsi="Times New Roman" w:cs="Times New Roman"/>
        </w:rPr>
        <w:t xml:space="preserve">must attend at least three of the coordinated 120 Day Sprint sessions to be </w:t>
      </w:r>
      <w:r w:rsidR="00471FC5">
        <w:rPr>
          <w:rFonts w:ascii="Times New Roman" w:eastAsia="Times New Roman" w:hAnsi="Times New Roman" w:cs="Times New Roman"/>
        </w:rPr>
        <w:t xml:space="preserve">receive grant </w:t>
      </w:r>
      <w:proofErr w:type="gramStart"/>
      <w:r w:rsidR="00471FC5">
        <w:rPr>
          <w:rFonts w:ascii="Times New Roman" w:eastAsia="Times New Roman" w:hAnsi="Times New Roman" w:cs="Times New Roman"/>
        </w:rPr>
        <w:t>funds.</w:t>
      </w:r>
      <w:r w:rsidRPr="1EED68A6">
        <w:rPr>
          <w:rFonts w:ascii="Times New Roman" w:eastAsia="Times New Roman" w:hAnsi="Times New Roman" w:cs="Times New Roman"/>
        </w:rPr>
        <w:t>.</w:t>
      </w:r>
      <w:proofErr w:type="gramEnd"/>
      <w:r w:rsidRPr="1EED68A6">
        <w:rPr>
          <w:rFonts w:ascii="Times New Roman" w:eastAsia="Times New Roman" w:hAnsi="Times New Roman" w:cs="Times New Roman"/>
        </w:rPr>
        <w:t xml:space="preserve"> Grants will be </w:t>
      </w:r>
      <w:r w:rsidR="069921CE" w:rsidRPr="1EED68A6">
        <w:rPr>
          <w:rFonts w:ascii="Times New Roman" w:eastAsia="Times New Roman" w:hAnsi="Times New Roman" w:cs="Times New Roman"/>
        </w:rPr>
        <w:t>award</w:t>
      </w:r>
      <w:r w:rsidRPr="1EED68A6">
        <w:rPr>
          <w:rFonts w:ascii="Times New Roman" w:eastAsia="Times New Roman" w:hAnsi="Times New Roman" w:cs="Times New Roman"/>
        </w:rPr>
        <w:t xml:space="preserve">ed after </w:t>
      </w:r>
      <w:r w:rsidR="38B6172C" w:rsidRPr="1EED68A6">
        <w:rPr>
          <w:rFonts w:ascii="Times New Roman" w:eastAsia="Times New Roman" w:hAnsi="Times New Roman" w:cs="Times New Roman"/>
        </w:rPr>
        <w:t>the</w:t>
      </w:r>
      <w:r w:rsidRPr="1EED68A6">
        <w:rPr>
          <w:rFonts w:ascii="Times New Roman" w:eastAsia="Times New Roman" w:hAnsi="Times New Roman" w:cs="Times New Roman"/>
        </w:rPr>
        <w:t xml:space="preserve"> completion of the 120 Day Sprint.</w:t>
      </w:r>
    </w:p>
    <w:p w14:paraId="0CD04F6C" w14:textId="3868BE60" w:rsidR="03B2600A" w:rsidRDefault="03B2600A" w:rsidP="00005CDC">
      <w:pPr>
        <w:pStyle w:val="NoSpacing"/>
        <w:rPr>
          <w:rFonts w:ascii="Times New Roman" w:eastAsia="Times New Roman" w:hAnsi="Times New Roman" w:cs="Times New Roman"/>
        </w:rPr>
      </w:pPr>
    </w:p>
    <w:p w14:paraId="2C777A3A" w14:textId="72A06E7D" w:rsidR="00CD7100" w:rsidRPr="00B3567C" w:rsidRDefault="00CD7100" w:rsidP="00005CDC">
      <w:pPr>
        <w:spacing w:line="276" w:lineRule="auto"/>
        <w:rPr>
          <w:rFonts w:ascii="Times New Roman" w:hAnsi="Times New Roman" w:cs="Times New Roman"/>
        </w:rPr>
      </w:pPr>
      <w:r w:rsidRPr="00CD7100">
        <w:rPr>
          <w:rFonts w:ascii="Times New Roman" w:hAnsi="Times New Roman" w:cs="Times New Roman"/>
        </w:rPr>
        <w:t>Training and technical assistance for all grant recipients will be coordinated by the Industry and Talent Development Unit throughout the planning year and monthly progress reporting will be required.</w:t>
      </w:r>
    </w:p>
    <w:p w14:paraId="149A78E2" w14:textId="13C26AB0" w:rsidR="006662FB" w:rsidRPr="003D62B7" w:rsidRDefault="006662FB" w:rsidP="03B2600A">
      <w:pPr>
        <w:pStyle w:val="NoSpacing"/>
        <w:tabs>
          <w:tab w:val="left" w:pos="720"/>
          <w:tab w:val="left" w:pos="1440"/>
          <w:tab w:val="left" w:pos="2160"/>
          <w:tab w:val="left" w:pos="5220"/>
        </w:tabs>
      </w:pPr>
      <w:r w:rsidRPr="03B2600A">
        <w:rPr>
          <w:rFonts w:ascii="Times New Roman" w:eastAsia="Times New Roman" w:hAnsi="Times New Roman" w:cs="Times New Roman"/>
          <w:b/>
          <w:bCs/>
        </w:rPr>
        <w:t>Effective Date:</w:t>
      </w:r>
      <w:r>
        <w:tab/>
      </w:r>
    </w:p>
    <w:p w14:paraId="7EB83D91" w14:textId="48B69598" w:rsidR="006662FB" w:rsidRPr="003D62B7" w:rsidRDefault="00892532" w:rsidP="03B2600A">
      <w:pPr>
        <w:pStyle w:val="NoSpacing"/>
        <w:tabs>
          <w:tab w:val="left" w:pos="720"/>
          <w:tab w:val="left" w:pos="1440"/>
          <w:tab w:val="left" w:pos="2160"/>
          <w:tab w:val="left" w:pos="5220"/>
        </w:tabs>
        <w:rPr>
          <w:rFonts w:ascii="Times New Roman" w:eastAsia="Times New Roman" w:hAnsi="Times New Roman" w:cs="Times New Roman"/>
          <w:b/>
          <w:color w:val="000000" w:themeColor="text1"/>
          <w:sz w:val="28"/>
          <w:szCs w:val="28"/>
        </w:rPr>
      </w:pPr>
      <w:r w:rsidRPr="685D394C">
        <w:rPr>
          <w:rFonts w:ascii="Times New Roman" w:eastAsia="Times New Roman" w:hAnsi="Times New Roman" w:cs="Times New Roman"/>
        </w:rPr>
        <w:t>Immediately</w:t>
      </w:r>
      <w:r w:rsidR="003C0E54">
        <w:tab/>
      </w:r>
    </w:p>
    <w:p w14:paraId="1FCD8413" w14:textId="304B78AC" w:rsidR="03B2600A" w:rsidRDefault="03B2600A" w:rsidP="03B2600A">
      <w:pPr>
        <w:pStyle w:val="NoSpacing"/>
        <w:tabs>
          <w:tab w:val="left" w:pos="720"/>
          <w:tab w:val="left" w:pos="1440"/>
          <w:tab w:val="left" w:pos="2160"/>
          <w:tab w:val="left" w:pos="5220"/>
        </w:tabs>
      </w:pPr>
    </w:p>
    <w:p w14:paraId="5A712393" w14:textId="787BB0E4" w:rsidR="006662FB" w:rsidRPr="00892532" w:rsidRDefault="006662FB" w:rsidP="03B2600A">
      <w:pPr>
        <w:pStyle w:val="NoSpacing"/>
        <w:rPr>
          <w:rFonts w:ascii="Times New Roman" w:hAnsi="Times New Roman" w:cs="Times New Roman"/>
          <w:b/>
          <w:bCs/>
          <w:color w:val="000000" w:themeColor="text1"/>
        </w:rPr>
      </w:pPr>
      <w:r w:rsidRPr="03B2600A">
        <w:rPr>
          <w:rFonts w:ascii="Times New Roman" w:eastAsia="Times New Roman" w:hAnsi="Times New Roman" w:cs="Times New Roman"/>
          <w:b/>
          <w:bCs/>
        </w:rPr>
        <w:t>Expiration:</w:t>
      </w:r>
      <w:r>
        <w:tab/>
      </w:r>
      <w:r w:rsidR="00892532">
        <w:tab/>
      </w:r>
    </w:p>
    <w:p w14:paraId="22433A90" w14:textId="749CCFB4" w:rsidR="006662FB" w:rsidRPr="00892532" w:rsidRDefault="00CD7100" w:rsidP="03B2600A">
      <w:pPr>
        <w:pStyle w:val="NoSpacing"/>
        <w:rPr>
          <w:rFonts w:ascii="Times New Roman" w:eastAsia="Times New Roman" w:hAnsi="Times New Roman" w:cs="Times New Roman"/>
          <w:color w:val="000000" w:themeColor="text1"/>
        </w:rPr>
      </w:pPr>
      <w:r w:rsidRPr="685D394C">
        <w:rPr>
          <w:rFonts w:ascii="Times New Roman" w:eastAsia="Times New Roman" w:hAnsi="Times New Roman" w:cs="Times New Roman"/>
        </w:rPr>
        <w:t>June 30, 2028</w:t>
      </w:r>
    </w:p>
    <w:p w14:paraId="7CFFA7A5" w14:textId="42A9CEB1" w:rsidR="03B2600A" w:rsidRDefault="03B2600A" w:rsidP="03B2600A">
      <w:pPr>
        <w:pStyle w:val="NoSpacing"/>
        <w:rPr>
          <w:rFonts w:ascii="Times New Roman" w:eastAsia="Times New Roman" w:hAnsi="Times New Roman" w:cs="Times New Roman"/>
        </w:rPr>
      </w:pPr>
    </w:p>
    <w:p w14:paraId="6DBDC76B" w14:textId="544AE08F" w:rsidR="006662FB" w:rsidRPr="00BC4FAE" w:rsidRDefault="006662FB" w:rsidP="03B2600A">
      <w:pPr>
        <w:pStyle w:val="NoSpacing"/>
        <w:rPr>
          <w:rFonts w:ascii="Times New Roman" w:hAnsi="Times New Roman" w:cs="Times New Roman"/>
          <w:b/>
          <w:bCs/>
          <w:color w:val="000000" w:themeColor="text1"/>
        </w:rPr>
      </w:pPr>
      <w:r w:rsidRPr="03B2600A">
        <w:rPr>
          <w:rFonts w:ascii="Times New Roman" w:eastAsia="Times New Roman" w:hAnsi="Times New Roman" w:cs="Times New Roman"/>
          <w:b/>
          <w:bCs/>
        </w:rPr>
        <w:t>Contact:</w:t>
      </w:r>
      <w:r>
        <w:tab/>
      </w:r>
      <w:r w:rsidR="00892532">
        <w:tab/>
      </w:r>
    </w:p>
    <w:p w14:paraId="548526CA" w14:textId="51BBFA50" w:rsidR="006662FB" w:rsidRPr="00BC4FAE" w:rsidRDefault="00CD7100" w:rsidP="03B2600A">
      <w:pPr>
        <w:pStyle w:val="NoSpacing"/>
        <w:rPr>
          <w:rFonts w:ascii="Times New Roman" w:eastAsia="Times New Roman" w:hAnsi="Times New Roman" w:cs="Times New Roman"/>
          <w:b/>
          <w:color w:val="000000" w:themeColor="text1"/>
        </w:rPr>
      </w:pPr>
      <w:r w:rsidRPr="685D394C">
        <w:rPr>
          <w:rFonts w:ascii="Times New Roman" w:eastAsia="Times New Roman" w:hAnsi="Times New Roman" w:cs="Times New Roman"/>
        </w:rPr>
        <w:t xml:space="preserve">Industry and </w:t>
      </w:r>
      <w:r w:rsidRPr="685D394C">
        <w:rPr>
          <w:rFonts w:ascii="Times New Roman" w:eastAsia="Times New Roman" w:hAnsi="Times New Roman" w:cs="Times New Roman"/>
          <w:color w:val="000000" w:themeColor="text1"/>
        </w:rPr>
        <w:t>Talent Development Unit</w:t>
      </w:r>
      <w:r w:rsidR="00892532">
        <w:tab/>
      </w:r>
    </w:p>
    <w:p w14:paraId="221C8247" w14:textId="398A9408" w:rsidR="03B2600A" w:rsidRDefault="03B2600A" w:rsidP="03B2600A">
      <w:pPr>
        <w:pStyle w:val="NoSpacing"/>
      </w:pPr>
    </w:p>
    <w:p w14:paraId="100EF41F" w14:textId="4A778197" w:rsidR="006662FB" w:rsidRPr="00CD7100" w:rsidRDefault="00306BF6" w:rsidP="03B2600A">
      <w:pPr>
        <w:pStyle w:val="NoSpacing"/>
        <w:rPr>
          <w:rFonts w:ascii="Times New Roman" w:hAnsi="Times New Roman" w:cs="Times New Roman"/>
          <w:b/>
          <w:bCs/>
          <w:color w:val="000000" w:themeColor="text1"/>
        </w:rPr>
      </w:pPr>
      <w:r w:rsidRPr="03B2600A">
        <w:rPr>
          <w:rFonts w:ascii="Times New Roman" w:eastAsia="Times New Roman" w:hAnsi="Times New Roman" w:cs="Times New Roman"/>
          <w:b/>
          <w:bCs/>
        </w:rPr>
        <w:t>Att</w:t>
      </w:r>
      <w:r w:rsidR="006662FB" w:rsidRPr="03B2600A">
        <w:rPr>
          <w:rFonts w:ascii="Times New Roman" w:eastAsia="Times New Roman" w:hAnsi="Times New Roman" w:cs="Times New Roman"/>
          <w:b/>
          <w:bCs/>
        </w:rPr>
        <w:t>achment:</w:t>
      </w:r>
      <w:r w:rsidR="006662FB">
        <w:tab/>
      </w:r>
      <w:r w:rsidR="006662FB">
        <w:tab/>
      </w:r>
    </w:p>
    <w:p w14:paraId="3AAF3383" w14:textId="44AEE4F4" w:rsidR="006662FB" w:rsidRPr="00CD7100" w:rsidRDefault="32849559" w:rsidP="03B2600A">
      <w:pPr>
        <w:pStyle w:val="NoSpacing"/>
        <w:rPr>
          <w:rFonts w:ascii="Times New Roman" w:eastAsia="Times New Roman" w:hAnsi="Times New Roman" w:cs="Times New Roman"/>
          <w:color w:val="000000" w:themeColor="text1"/>
        </w:rPr>
      </w:pPr>
      <w:r w:rsidRPr="649878DB">
        <w:rPr>
          <w:rFonts w:ascii="Times New Roman" w:eastAsia="Times New Roman" w:hAnsi="Times New Roman" w:cs="Times New Roman"/>
        </w:rPr>
        <w:t xml:space="preserve">Employer </w:t>
      </w:r>
      <w:r w:rsidR="00116A51" w:rsidRPr="3184E7DE">
        <w:rPr>
          <w:rFonts w:ascii="Times New Roman" w:eastAsia="Times New Roman" w:hAnsi="Times New Roman" w:cs="Times New Roman"/>
        </w:rPr>
        <w:t xml:space="preserve"> Engagement Funding Application and Budget</w:t>
      </w: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45593" w14:textId="77777777" w:rsidR="00CB438D" w:rsidRDefault="00CB438D" w:rsidP="006662FB">
      <w:pPr>
        <w:spacing w:after="0" w:line="240" w:lineRule="auto"/>
      </w:pPr>
      <w:r>
        <w:separator/>
      </w:r>
    </w:p>
  </w:endnote>
  <w:endnote w:type="continuationSeparator" w:id="0">
    <w:p w14:paraId="10AA67B7" w14:textId="77777777" w:rsidR="00CB438D" w:rsidRDefault="00CB438D" w:rsidP="006662FB">
      <w:pPr>
        <w:spacing w:after="0" w:line="240" w:lineRule="auto"/>
      </w:pPr>
      <w:r>
        <w:continuationSeparator/>
      </w:r>
    </w:p>
  </w:endnote>
  <w:endnote w:type="continuationNotice" w:id="1">
    <w:p w14:paraId="2D11A9B3" w14:textId="77777777" w:rsidR="00CB438D" w:rsidRDefault="00CB43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C1310" w14:textId="77777777" w:rsidR="00CB438D" w:rsidRDefault="00CB438D" w:rsidP="006662FB">
      <w:pPr>
        <w:spacing w:after="0" w:line="240" w:lineRule="auto"/>
      </w:pPr>
      <w:r>
        <w:separator/>
      </w:r>
    </w:p>
  </w:footnote>
  <w:footnote w:type="continuationSeparator" w:id="0">
    <w:p w14:paraId="47E1357B" w14:textId="77777777" w:rsidR="00CB438D" w:rsidRDefault="00CB438D" w:rsidP="006662FB">
      <w:pPr>
        <w:spacing w:after="0" w:line="240" w:lineRule="auto"/>
      </w:pPr>
      <w:r>
        <w:continuationSeparator/>
      </w:r>
    </w:p>
  </w:footnote>
  <w:footnote w:type="continuationNotice" w:id="1">
    <w:p w14:paraId="5A975A8A" w14:textId="77777777" w:rsidR="00CB438D" w:rsidRDefault="00CB43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FECA850"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2501E1C0"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13DD6808"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D86F7B"/>
    <w:multiLevelType w:val="hybridMultilevel"/>
    <w:tmpl w:val="4E68781C"/>
    <w:lvl w:ilvl="0" w:tplc="113C88DE">
      <w:start w:val="301"/>
      <w:numFmt w:val="bullet"/>
      <w:lvlText w:val="-"/>
      <w:lvlJc w:val="left"/>
      <w:pPr>
        <w:ind w:left="3240" w:hanging="360"/>
      </w:pPr>
      <w:rPr>
        <w:rFonts w:ascii="Times New Roman" w:eastAsiaTheme="minorHAnsi" w:hAnsi="Times New Roman"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5C7335"/>
    <w:multiLevelType w:val="hybridMultilevel"/>
    <w:tmpl w:val="85A6CA98"/>
    <w:lvl w:ilvl="0" w:tplc="BF88577C">
      <w:start w:val="1"/>
      <w:numFmt w:val="bullet"/>
      <w:lvlText w:val=""/>
      <w:lvlJc w:val="left"/>
      <w:pPr>
        <w:ind w:left="720" w:hanging="360"/>
      </w:pPr>
      <w:rPr>
        <w:rFonts w:ascii="Symbol" w:hAnsi="Symbol" w:hint="default"/>
      </w:rPr>
    </w:lvl>
    <w:lvl w:ilvl="1" w:tplc="8D92BBFA">
      <w:start w:val="1"/>
      <w:numFmt w:val="bullet"/>
      <w:lvlText w:val="o"/>
      <w:lvlJc w:val="left"/>
      <w:pPr>
        <w:ind w:left="1440" w:hanging="360"/>
      </w:pPr>
      <w:rPr>
        <w:rFonts w:ascii="Courier New" w:hAnsi="Courier New" w:hint="default"/>
      </w:rPr>
    </w:lvl>
    <w:lvl w:ilvl="2" w:tplc="F72E2DC6">
      <w:start w:val="1"/>
      <w:numFmt w:val="bullet"/>
      <w:lvlText w:val=""/>
      <w:lvlJc w:val="left"/>
      <w:pPr>
        <w:ind w:left="2160" w:hanging="360"/>
      </w:pPr>
      <w:rPr>
        <w:rFonts w:ascii="Wingdings" w:hAnsi="Wingdings" w:hint="default"/>
      </w:rPr>
    </w:lvl>
    <w:lvl w:ilvl="3" w:tplc="5A503F8C">
      <w:start w:val="1"/>
      <w:numFmt w:val="bullet"/>
      <w:lvlText w:val=""/>
      <w:lvlJc w:val="left"/>
      <w:pPr>
        <w:ind w:left="2880" w:hanging="360"/>
      </w:pPr>
      <w:rPr>
        <w:rFonts w:ascii="Symbol" w:hAnsi="Symbol" w:hint="default"/>
      </w:rPr>
    </w:lvl>
    <w:lvl w:ilvl="4" w:tplc="360CFB12">
      <w:start w:val="1"/>
      <w:numFmt w:val="bullet"/>
      <w:lvlText w:val="o"/>
      <w:lvlJc w:val="left"/>
      <w:pPr>
        <w:ind w:left="3600" w:hanging="360"/>
      </w:pPr>
      <w:rPr>
        <w:rFonts w:ascii="Courier New" w:hAnsi="Courier New" w:hint="default"/>
      </w:rPr>
    </w:lvl>
    <w:lvl w:ilvl="5" w:tplc="8F1471CE">
      <w:start w:val="1"/>
      <w:numFmt w:val="bullet"/>
      <w:lvlText w:val=""/>
      <w:lvlJc w:val="left"/>
      <w:pPr>
        <w:ind w:left="4320" w:hanging="360"/>
      </w:pPr>
      <w:rPr>
        <w:rFonts w:ascii="Wingdings" w:hAnsi="Wingdings" w:hint="default"/>
      </w:rPr>
    </w:lvl>
    <w:lvl w:ilvl="6" w:tplc="7D96621A">
      <w:start w:val="1"/>
      <w:numFmt w:val="bullet"/>
      <w:lvlText w:val=""/>
      <w:lvlJc w:val="left"/>
      <w:pPr>
        <w:ind w:left="5040" w:hanging="360"/>
      </w:pPr>
      <w:rPr>
        <w:rFonts w:ascii="Symbol" w:hAnsi="Symbol" w:hint="default"/>
      </w:rPr>
    </w:lvl>
    <w:lvl w:ilvl="7" w:tplc="EBAEEFD8">
      <w:start w:val="1"/>
      <w:numFmt w:val="bullet"/>
      <w:lvlText w:val="o"/>
      <w:lvlJc w:val="left"/>
      <w:pPr>
        <w:ind w:left="5760" w:hanging="360"/>
      </w:pPr>
      <w:rPr>
        <w:rFonts w:ascii="Courier New" w:hAnsi="Courier New" w:hint="default"/>
      </w:rPr>
    </w:lvl>
    <w:lvl w:ilvl="8" w:tplc="EA86CF82">
      <w:start w:val="1"/>
      <w:numFmt w:val="bullet"/>
      <w:lvlText w:val=""/>
      <w:lvlJc w:val="left"/>
      <w:pPr>
        <w:ind w:left="6480" w:hanging="360"/>
      </w:pPr>
      <w:rPr>
        <w:rFonts w:ascii="Wingdings" w:hAnsi="Wingdings" w:hint="default"/>
      </w:rPr>
    </w:lvl>
  </w:abstractNum>
  <w:num w:numId="1" w16cid:durableId="51925638">
    <w:abstractNumId w:val="1"/>
  </w:num>
  <w:num w:numId="2" w16cid:durableId="435366992">
    <w:abstractNumId w:val="2"/>
  </w:num>
  <w:num w:numId="3" w16cid:durableId="520750053">
    <w:abstractNumId w:val="5"/>
  </w:num>
  <w:num w:numId="4" w16cid:durableId="1271012784">
    <w:abstractNumId w:val="0"/>
  </w:num>
  <w:num w:numId="5" w16cid:durableId="634335300">
    <w:abstractNumId w:val="3"/>
  </w:num>
  <w:num w:numId="6" w16cid:durableId="2120680798">
    <w:abstractNumId w:val="4"/>
  </w:num>
  <w:num w:numId="7" w16cid:durableId="1549223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05CDC"/>
    <w:rsid w:val="000252F0"/>
    <w:rsid w:val="00054578"/>
    <w:rsid w:val="00070E79"/>
    <w:rsid w:val="0007668C"/>
    <w:rsid w:val="000A15C0"/>
    <w:rsid w:val="000A2A5C"/>
    <w:rsid w:val="000A7FB9"/>
    <w:rsid w:val="000B1506"/>
    <w:rsid w:val="00116A51"/>
    <w:rsid w:val="00121C7C"/>
    <w:rsid w:val="00190F84"/>
    <w:rsid w:val="001B40E6"/>
    <w:rsid w:val="001C51A1"/>
    <w:rsid w:val="001E097C"/>
    <w:rsid w:val="002200DD"/>
    <w:rsid w:val="00265F27"/>
    <w:rsid w:val="002B2073"/>
    <w:rsid w:val="002C5DBA"/>
    <w:rsid w:val="002E5799"/>
    <w:rsid w:val="002F2C42"/>
    <w:rsid w:val="002F59CA"/>
    <w:rsid w:val="00306BF6"/>
    <w:rsid w:val="00310969"/>
    <w:rsid w:val="003115B7"/>
    <w:rsid w:val="00330976"/>
    <w:rsid w:val="00335216"/>
    <w:rsid w:val="00342D7F"/>
    <w:rsid w:val="00377474"/>
    <w:rsid w:val="00385B0D"/>
    <w:rsid w:val="003C0E54"/>
    <w:rsid w:val="003D1025"/>
    <w:rsid w:val="003D62B7"/>
    <w:rsid w:val="00404976"/>
    <w:rsid w:val="00471FC5"/>
    <w:rsid w:val="00496A34"/>
    <w:rsid w:val="004A54AB"/>
    <w:rsid w:val="004B2EDC"/>
    <w:rsid w:val="004F4E0E"/>
    <w:rsid w:val="0050440D"/>
    <w:rsid w:val="00544155"/>
    <w:rsid w:val="00564CA6"/>
    <w:rsid w:val="00596E6C"/>
    <w:rsid w:val="005E6FDB"/>
    <w:rsid w:val="005E75D5"/>
    <w:rsid w:val="0062272D"/>
    <w:rsid w:val="00661047"/>
    <w:rsid w:val="006662FB"/>
    <w:rsid w:val="006B7839"/>
    <w:rsid w:val="006E07B4"/>
    <w:rsid w:val="006E6F6F"/>
    <w:rsid w:val="00711BD7"/>
    <w:rsid w:val="007726AA"/>
    <w:rsid w:val="007C0019"/>
    <w:rsid w:val="007F3066"/>
    <w:rsid w:val="007F7DA6"/>
    <w:rsid w:val="00832C47"/>
    <w:rsid w:val="00836125"/>
    <w:rsid w:val="00863237"/>
    <w:rsid w:val="0088650E"/>
    <w:rsid w:val="00886D47"/>
    <w:rsid w:val="00892532"/>
    <w:rsid w:val="008A6EA6"/>
    <w:rsid w:val="008B64DB"/>
    <w:rsid w:val="00922A58"/>
    <w:rsid w:val="0096469F"/>
    <w:rsid w:val="009A5743"/>
    <w:rsid w:val="009E2262"/>
    <w:rsid w:val="009F44BD"/>
    <w:rsid w:val="00A21F20"/>
    <w:rsid w:val="00A23467"/>
    <w:rsid w:val="00A5726C"/>
    <w:rsid w:val="00A576CA"/>
    <w:rsid w:val="00A8507F"/>
    <w:rsid w:val="00AA4E58"/>
    <w:rsid w:val="00AA5865"/>
    <w:rsid w:val="00AC58F4"/>
    <w:rsid w:val="00AE5AB1"/>
    <w:rsid w:val="00B3567C"/>
    <w:rsid w:val="00B35815"/>
    <w:rsid w:val="00B40902"/>
    <w:rsid w:val="00B60106"/>
    <w:rsid w:val="00B6018D"/>
    <w:rsid w:val="00B616A9"/>
    <w:rsid w:val="00B61A6B"/>
    <w:rsid w:val="00B752F5"/>
    <w:rsid w:val="00BA11E7"/>
    <w:rsid w:val="00BC4FAE"/>
    <w:rsid w:val="00BC7CDA"/>
    <w:rsid w:val="00BD77BC"/>
    <w:rsid w:val="00BE1671"/>
    <w:rsid w:val="00C05DC8"/>
    <w:rsid w:val="00C338D0"/>
    <w:rsid w:val="00C40DDF"/>
    <w:rsid w:val="00C83A61"/>
    <w:rsid w:val="00CB438D"/>
    <w:rsid w:val="00CD09D6"/>
    <w:rsid w:val="00CD1349"/>
    <w:rsid w:val="00CD2ECA"/>
    <w:rsid w:val="00CD7100"/>
    <w:rsid w:val="00D02678"/>
    <w:rsid w:val="00D300CD"/>
    <w:rsid w:val="00D35C3F"/>
    <w:rsid w:val="00D774FD"/>
    <w:rsid w:val="00D80DF3"/>
    <w:rsid w:val="00D872CC"/>
    <w:rsid w:val="00D90DFB"/>
    <w:rsid w:val="00DA1834"/>
    <w:rsid w:val="00DE0B4D"/>
    <w:rsid w:val="00DE1BDA"/>
    <w:rsid w:val="00E71781"/>
    <w:rsid w:val="00E82E7F"/>
    <w:rsid w:val="00E839A0"/>
    <w:rsid w:val="00EA6CF5"/>
    <w:rsid w:val="00EF518D"/>
    <w:rsid w:val="00F2676A"/>
    <w:rsid w:val="00F67E1E"/>
    <w:rsid w:val="00F75015"/>
    <w:rsid w:val="00F83DEB"/>
    <w:rsid w:val="00F843C1"/>
    <w:rsid w:val="00F84681"/>
    <w:rsid w:val="00FB6C61"/>
    <w:rsid w:val="00FD0E87"/>
    <w:rsid w:val="03B2600A"/>
    <w:rsid w:val="064CFFDC"/>
    <w:rsid w:val="069921CE"/>
    <w:rsid w:val="0A213996"/>
    <w:rsid w:val="0BBD293A"/>
    <w:rsid w:val="0C2405D6"/>
    <w:rsid w:val="0CA4144A"/>
    <w:rsid w:val="0FCAB715"/>
    <w:rsid w:val="117B54E7"/>
    <w:rsid w:val="11E3D9CD"/>
    <w:rsid w:val="121BB5EB"/>
    <w:rsid w:val="121FEBC9"/>
    <w:rsid w:val="12BA6C59"/>
    <w:rsid w:val="12C54D1B"/>
    <w:rsid w:val="14D5487C"/>
    <w:rsid w:val="17697606"/>
    <w:rsid w:val="178345AC"/>
    <w:rsid w:val="19431765"/>
    <w:rsid w:val="1AF2A4AE"/>
    <w:rsid w:val="1C136E0F"/>
    <w:rsid w:val="1D7E8877"/>
    <w:rsid w:val="1D8AD67B"/>
    <w:rsid w:val="1DE92CAE"/>
    <w:rsid w:val="1E238C8D"/>
    <w:rsid w:val="1EED68A6"/>
    <w:rsid w:val="1FDC4804"/>
    <w:rsid w:val="20968039"/>
    <w:rsid w:val="23008295"/>
    <w:rsid w:val="2362738E"/>
    <w:rsid w:val="244EE8AE"/>
    <w:rsid w:val="24E7AA81"/>
    <w:rsid w:val="25963C72"/>
    <w:rsid w:val="26514932"/>
    <w:rsid w:val="2CC0A120"/>
    <w:rsid w:val="30D41A49"/>
    <w:rsid w:val="316499F4"/>
    <w:rsid w:val="3184E7DE"/>
    <w:rsid w:val="32849559"/>
    <w:rsid w:val="3369D2B1"/>
    <w:rsid w:val="34147C96"/>
    <w:rsid w:val="36650627"/>
    <w:rsid w:val="38B6172C"/>
    <w:rsid w:val="38BB78F1"/>
    <w:rsid w:val="3B91A417"/>
    <w:rsid w:val="3C037C26"/>
    <w:rsid w:val="3D33522B"/>
    <w:rsid w:val="3D733DE3"/>
    <w:rsid w:val="3E2C6640"/>
    <w:rsid w:val="3E907DFA"/>
    <w:rsid w:val="3F3F08A8"/>
    <w:rsid w:val="42FB6DE6"/>
    <w:rsid w:val="436E0B65"/>
    <w:rsid w:val="462AFE9E"/>
    <w:rsid w:val="48D08B86"/>
    <w:rsid w:val="4C269F19"/>
    <w:rsid w:val="4DDA69F6"/>
    <w:rsid w:val="4E5774A8"/>
    <w:rsid w:val="4E7CB614"/>
    <w:rsid w:val="4F011854"/>
    <w:rsid w:val="506442CC"/>
    <w:rsid w:val="52D053F2"/>
    <w:rsid w:val="55C7C046"/>
    <w:rsid w:val="55FB5A09"/>
    <w:rsid w:val="573BF4EE"/>
    <w:rsid w:val="575ED622"/>
    <w:rsid w:val="5912E6A8"/>
    <w:rsid w:val="59277839"/>
    <w:rsid w:val="5EB1F4CC"/>
    <w:rsid w:val="60F850D5"/>
    <w:rsid w:val="62AC63D8"/>
    <w:rsid w:val="649878DB"/>
    <w:rsid w:val="64BB4D8C"/>
    <w:rsid w:val="6646C59C"/>
    <w:rsid w:val="67C14EEA"/>
    <w:rsid w:val="685D394C"/>
    <w:rsid w:val="6A47FF2D"/>
    <w:rsid w:val="6AD557FB"/>
    <w:rsid w:val="6D176687"/>
    <w:rsid w:val="6D623E37"/>
    <w:rsid w:val="6E4482F2"/>
    <w:rsid w:val="6EF26817"/>
    <w:rsid w:val="6F7E5B02"/>
    <w:rsid w:val="72433002"/>
    <w:rsid w:val="7310CCCF"/>
    <w:rsid w:val="7480041E"/>
    <w:rsid w:val="75068D76"/>
    <w:rsid w:val="7D0A31D5"/>
    <w:rsid w:val="7E6C65FE"/>
    <w:rsid w:val="7E9D635F"/>
    <w:rsid w:val="7FB0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A1B422DA-DCC5-4FCA-9E73-57FA6678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CommentText">
    <w:name w:val="annotation text"/>
    <w:basedOn w:val="Normal"/>
    <w:link w:val="CommentTextChar"/>
    <w:uiPriority w:val="99"/>
    <w:unhideWhenUsed/>
    <w:rsid w:val="00FD0E87"/>
    <w:pPr>
      <w:spacing w:line="240" w:lineRule="auto"/>
    </w:pPr>
    <w:rPr>
      <w:sz w:val="20"/>
      <w:szCs w:val="20"/>
    </w:rPr>
  </w:style>
  <w:style w:type="character" w:customStyle="1" w:styleId="CommentTextChar">
    <w:name w:val="Comment Text Char"/>
    <w:basedOn w:val="DefaultParagraphFont"/>
    <w:link w:val="CommentText"/>
    <w:uiPriority w:val="99"/>
    <w:rsid w:val="00FD0E87"/>
    <w:rPr>
      <w:sz w:val="20"/>
      <w:szCs w:val="20"/>
    </w:rPr>
  </w:style>
  <w:style w:type="character" w:styleId="CommentReference">
    <w:name w:val="annotation reference"/>
    <w:basedOn w:val="DefaultParagraphFont"/>
    <w:uiPriority w:val="99"/>
    <w:semiHidden/>
    <w:unhideWhenUsed/>
    <w:rsid w:val="00FD0E87"/>
    <w:rPr>
      <w:sz w:val="16"/>
      <w:szCs w:val="16"/>
    </w:rPr>
  </w:style>
  <w:style w:type="paragraph" w:styleId="NoSpacing">
    <w:name w:val="No Spacing"/>
    <w:uiPriority w:val="1"/>
    <w:qFormat/>
    <w:rsid w:val="00BA11E7"/>
    <w:pPr>
      <w:spacing w:after="0"/>
    </w:pPr>
  </w:style>
  <w:style w:type="paragraph" w:styleId="Revision">
    <w:name w:val="Revision"/>
    <w:hidden/>
    <w:uiPriority w:val="99"/>
    <w:semiHidden/>
    <w:rsid w:val="00832C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3108</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4</cp:revision>
  <dcterms:created xsi:type="dcterms:W3CDTF">2026-04-24T15:15:00Z</dcterms:created>
  <dcterms:modified xsi:type="dcterms:W3CDTF">2026-04-27T14:10:00Z</dcterms:modified>
</cp:coreProperties>
</file>