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E6683" w14:textId="77777777" w:rsidR="00F36148" w:rsidRDefault="00E7521E">
      <w:pPr>
        <w:pStyle w:val="Heading1"/>
      </w:pPr>
      <w:r>
        <w:t>Obligation,</w:t>
      </w:r>
      <w:r>
        <w:rPr>
          <w:spacing w:val="-11"/>
        </w:rPr>
        <w:t xml:space="preserve"> </w:t>
      </w:r>
      <w:r>
        <w:t>Expenditure,</w:t>
      </w:r>
      <w:r>
        <w:rPr>
          <w:spacing w:val="-9"/>
        </w:rPr>
        <w:t xml:space="preserve"> </w:t>
      </w:r>
      <w:r>
        <w:t>Recapture,</w:t>
      </w:r>
      <w:r>
        <w:rPr>
          <w:spacing w:val="-12"/>
        </w:rPr>
        <w:t xml:space="preserve"> </w:t>
      </w:r>
      <w:r>
        <w:t>and</w:t>
      </w:r>
      <w:r>
        <w:rPr>
          <w:spacing w:val="-9"/>
        </w:rPr>
        <w:t xml:space="preserve"> </w:t>
      </w:r>
      <w:r>
        <w:t>Reallocation</w:t>
      </w:r>
      <w:r>
        <w:rPr>
          <w:spacing w:val="-8"/>
        </w:rPr>
        <w:t xml:space="preserve"> </w:t>
      </w:r>
      <w:r>
        <w:rPr>
          <w:spacing w:val="-2"/>
        </w:rPr>
        <w:t>Guidelines</w:t>
      </w:r>
    </w:p>
    <w:p w14:paraId="685F6BD4" w14:textId="77777777" w:rsidR="00F36148" w:rsidRDefault="00E7521E">
      <w:pPr>
        <w:pStyle w:val="Heading2"/>
        <w:spacing w:before="210" w:line="417" w:lineRule="auto"/>
        <w:ind w:left="360" w:right="7215"/>
      </w:pPr>
      <w:r>
        <w:t>First Program Year Obligation</w:t>
      </w:r>
      <w:r>
        <w:rPr>
          <w:spacing w:val="-15"/>
        </w:rPr>
        <w:t xml:space="preserve"> </w:t>
      </w:r>
      <w:r>
        <w:t>Requirement</w:t>
      </w:r>
    </w:p>
    <w:p w14:paraId="2FB8A5B8" w14:textId="77777777" w:rsidR="00F36148" w:rsidRDefault="00E7521E" w:rsidP="00E7521E">
      <w:pPr>
        <w:pStyle w:val="BodyText"/>
        <w:spacing w:line="278" w:lineRule="auto"/>
        <w:ind w:left="360" w:right="354"/>
        <w:jc w:val="left"/>
      </w:pPr>
      <w:r>
        <w:t>The DWS shall determine, based on financial documentation, whether a local area has obligated its</w:t>
      </w:r>
      <w:r>
        <w:rPr>
          <w:spacing w:val="-8"/>
        </w:rPr>
        <w:t xml:space="preserve"> </w:t>
      </w:r>
      <w:r>
        <w:t>required</w:t>
      </w:r>
      <w:r>
        <w:rPr>
          <w:spacing w:val="-6"/>
        </w:rPr>
        <w:t xml:space="preserve"> </w:t>
      </w:r>
      <w:r>
        <w:t>level</w:t>
      </w:r>
      <w:r>
        <w:rPr>
          <w:spacing w:val="-5"/>
        </w:rPr>
        <w:t xml:space="preserve"> </w:t>
      </w:r>
      <w:r>
        <w:t>of</w:t>
      </w:r>
      <w:r>
        <w:rPr>
          <w:spacing w:val="-7"/>
        </w:rPr>
        <w:t xml:space="preserve"> </w:t>
      </w:r>
      <w:r>
        <w:t>at</w:t>
      </w:r>
      <w:r>
        <w:rPr>
          <w:spacing w:val="-5"/>
        </w:rPr>
        <w:t xml:space="preserve"> </w:t>
      </w:r>
      <w:r>
        <w:t>least</w:t>
      </w:r>
      <w:r>
        <w:rPr>
          <w:spacing w:val="-5"/>
        </w:rPr>
        <w:t xml:space="preserve"> </w:t>
      </w:r>
      <w:r>
        <w:t>80</w:t>
      </w:r>
      <w:r>
        <w:rPr>
          <w:spacing w:val="-6"/>
        </w:rPr>
        <w:t xml:space="preserve"> </w:t>
      </w:r>
      <w:r>
        <w:t>percent</w:t>
      </w:r>
      <w:r>
        <w:rPr>
          <w:spacing w:val="-5"/>
        </w:rPr>
        <w:t xml:space="preserve"> </w:t>
      </w:r>
      <w:r>
        <w:t>of</w:t>
      </w:r>
      <w:r>
        <w:rPr>
          <w:spacing w:val="-7"/>
        </w:rPr>
        <w:t xml:space="preserve"> </w:t>
      </w:r>
      <w:r>
        <w:t>the</w:t>
      </w:r>
      <w:r>
        <w:rPr>
          <w:spacing w:val="-7"/>
        </w:rPr>
        <w:t xml:space="preserve"> </w:t>
      </w:r>
      <w:r>
        <w:t>funds</w:t>
      </w:r>
      <w:r>
        <w:rPr>
          <w:spacing w:val="-6"/>
        </w:rPr>
        <w:t xml:space="preserve"> </w:t>
      </w:r>
      <w:r>
        <w:t>allotted</w:t>
      </w:r>
      <w:r>
        <w:rPr>
          <w:spacing w:val="-6"/>
        </w:rPr>
        <w:t xml:space="preserve"> </w:t>
      </w:r>
      <w:r>
        <w:t>under</w:t>
      </w:r>
      <w:r>
        <w:rPr>
          <w:spacing w:val="-11"/>
        </w:rPr>
        <w:t xml:space="preserve"> </w:t>
      </w:r>
      <w:r>
        <w:t>WIOA</w:t>
      </w:r>
      <w:r>
        <w:rPr>
          <w:spacing w:val="-15"/>
        </w:rPr>
        <w:t xml:space="preserve"> </w:t>
      </w:r>
      <w:r>
        <w:t>Sections</w:t>
      </w:r>
      <w:r>
        <w:rPr>
          <w:spacing w:val="-6"/>
        </w:rPr>
        <w:t xml:space="preserve"> </w:t>
      </w:r>
      <w:r>
        <w:t>127</w:t>
      </w:r>
      <w:r>
        <w:rPr>
          <w:spacing w:val="-6"/>
        </w:rPr>
        <w:t xml:space="preserve"> </w:t>
      </w:r>
      <w:r>
        <w:t>and</w:t>
      </w:r>
      <w:r>
        <w:rPr>
          <w:spacing w:val="-6"/>
        </w:rPr>
        <w:t xml:space="preserve"> </w:t>
      </w:r>
      <w:r>
        <w:t>132</w:t>
      </w:r>
      <w:r>
        <w:rPr>
          <w:spacing w:val="-6"/>
        </w:rPr>
        <w:t xml:space="preserve"> </w:t>
      </w:r>
      <w:r>
        <w:t>for programs</w:t>
      </w:r>
      <w:r>
        <w:rPr>
          <w:spacing w:val="-5"/>
        </w:rPr>
        <w:t xml:space="preserve"> </w:t>
      </w:r>
      <w:r>
        <w:t>serving</w:t>
      </w:r>
      <w:r>
        <w:rPr>
          <w:spacing w:val="-5"/>
        </w:rPr>
        <w:t xml:space="preserve"> </w:t>
      </w:r>
      <w:r>
        <w:t>youth,</w:t>
      </w:r>
      <w:r>
        <w:rPr>
          <w:spacing w:val="-3"/>
        </w:rPr>
        <w:t xml:space="preserve"> </w:t>
      </w:r>
      <w:r>
        <w:t>adults,</w:t>
      </w:r>
      <w:r>
        <w:rPr>
          <w:spacing w:val="-5"/>
        </w:rPr>
        <w:t xml:space="preserve"> </w:t>
      </w:r>
      <w:r>
        <w:t>and</w:t>
      </w:r>
      <w:r>
        <w:rPr>
          <w:spacing w:val="-5"/>
        </w:rPr>
        <w:t xml:space="preserve"> </w:t>
      </w:r>
      <w:r>
        <w:t>dislocated</w:t>
      </w:r>
      <w:r>
        <w:rPr>
          <w:spacing w:val="-3"/>
        </w:rPr>
        <w:t xml:space="preserve"> </w:t>
      </w:r>
      <w:r>
        <w:t>workers</w:t>
      </w:r>
      <w:r>
        <w:rPr>
          <w:spacing w:val="-5"/>
        </w:rPr>
        <w:t xml:space="preserve"> </w:t>
      </w:r>
      <w:r>
        <w:t>for</w:t>
      </w:r>
      <w:r>
        <w:rPr>
          <w:spacing w:val="-6"/>
        </w:rPr>
        <w:t xml:space="preserve"> </w:t>
      </w:r>
      <w:r>
        <w:t>the</w:t>
      </w:r>
      <w:r>
        <w:rPr>
          <w:spacing w:val="-6"/>
        </w:rPr>
        <w:t xml:space="preserve"> </w:t>
      </w:r>
      <w:r>
        <w:t>prior</w:t>
      </w:r>
      <w:r>
        <w:rPr>
          <w:spacing w:val="-6"/>
        </w:rPr>
        <w:t xml:space="preserve"> </w:t>
      </w:r>
      <w:r>
        <w:t>PY,</w:t>
      </w:r>
      <w:r>
        <w:rPr>
          <w:spacing w:val="-3"/>
        </w:rPr>
        <w:t xml:space="preserve"> </w:t>
      </w:r>
      <w:r>
        <w:t>as</w:t>
      </w:r>
      <w:r>
        <w:rPr>
          <w:spacing w:val="-3"/>
        </w:rPr>
        <w:t xml:space="preserve"> </w:t>
      </w:r>
      <w:r>
        <w:t>separately</w:t>
      </w:r>
      <w:r>
        <w:rPr>
          <w:spacing w:val="-5"/>
        </w:rPr>
        <w:t xml:space="preserve"> </w:t>
      </w:r>
      <w:r>
        <w:t>determined for each of the three funding streams.</w:t>
      </w:r>
    </w:p>
    <w:p w14:paraId="59BA476E" w14:textId="77777777" w:rsidR="00F36148" w:rsidRDefault="00E7521E" w:rsidP="00E7521E">
      <w:pPr>
        <w:pStyle w:val="BodyText"/>
        <w:spacing w:before="156" w:line="278" w:lineRule="auto"/>
        <w:ind w:left="360" w:right="359"/>
        <w:jc w:val="left"/>
      </w:pPr>
      <w:r>
        <w:t>Unobligated balances are determined based on allotments adjusted for any allowable transfer between the youth, adult, and dislocated worker funding streams.</w:t>
      </w:r>
    </w:p>
    <w:p w14:paraId="5A531AA8" w14:textId="77777777" w:rsidR="00F36148" w:rsidRDefault="00E7521E" w:rsidP="00E7521E">
      <w:pPr>
        <w:pStyle w:val="BodyText"/>
        <w:spacing w:before="159" w:line="278" w:lineRule="auto"/>
        <w:ind w:right="354"/>
        <w:jc w:val="left"/>
      </w:pPr>
      <w:r>
        <w:t>The table provided on page 2 outlines an example timeline of when funding should be obligated and would be subject to recapture and reallocation.</w:t>
      </w:r>
      <w:r>
        <w:rPr>
          <w:spacing w:val="-5"/>
        </w:rPr>
        <w:t xml:space="preserve"> </w:t>
      </w:r>
      <w:r>
        <w:t xml:space="preserve">The amount available for reallocation, if any, is equal to the amount by which the unobligated balance of the WDBs allotments for programs serving youth, adults, or dislocated workers, exceeds 20 percent of such allotments, less any </w:t>
      </w:r>
      <w:r>
        <w:rPr>
          <w:spacing w:val="-2"/>
        </w:rPr>
        <w:t>amount</w:t>
      </w:r>
      <w:r>
        <w:rPr>
          <w:spacing w:val="-6"/>
        </w:rPr>
        <w:t xml:space="preserve"> </w:t>
      </w:r>
      <w:r>
        <w:rPr>
          <w:spacing w:val="-2"/>
        </w:rPr>
        <w:t>reserved</w:t>
      </w:r>
      <w:r>
        <w:rPr>
          <w:spacing w:val="-4"/>
        </w:rPr>
        <w:t xml:space="preserve"> </w:t>
      </w:r>
      <w:r>
        <w:rPr>
          <w:spacing w:val="-2"/>
        </w:rPr>
        <w:t>for</w:t>
      </w:r>
      <w:r>
        <w:rPr>
          <w:spacing w:val="-9"/>
        </w:rPr>
        <w:t xml:space="preserve"> </w:t>
      </w:r>
      <w:r>
        <w:rPr>
          <w:spacing w:val="-2"/>
        </w:rPr>
        <w:t>the</w:t>
      </w:r>
      <w:r>
        <w:rPr>
          <w:spacing w:val="-9"/>
        </w:rPr>
        <w:t xml:space="preserve"> </w:t>
      </w:r>
      <w:r>
        <w:rPr>
          <w:spacing w:val="-2"/>
        </w:rPr>
        <w:t>costs</w:t>
      </w:r>
      <w:r>
        <w:rPr>
          <w:spacing w:val="-7"/>
        </w:rPr>
        <w:t xml:space="preserve"> </w:t>
      </w:r>
      <w:r>
        <w:rPr>
          <w:spacing w:val="-2"/>
        </w:rPr>
        <w:t>of</w:t>
      </w:r>
      <w:r>
        <w:rPr>
          <w:spacing w:val="-9"/>
        </w:rPr>
        <w:t xml:space="preserve"> </w:t>
      </w:r>
      <w:r>
        <w:rPr>
          <w:spacing w:val="-2"/>
        </w:rPr>
        <w:t>administration</w:t>
      </w:r>
      <w:r>
        <w:rPr>
          <w:spacing w:val="-7"/>
        </w:rPr>
        <w:t xml:space="preserve"> </w:t>
      </w:r>
      <w:r>
        <w:rPr>
          <w:spacing w:val="-2"/>
        </w:rPr>
        <w:t>(up</w:t>
      </w:r>
      <w:r>
        <w:rPr>
          <w:spacing w:val="-10"/>
        </w:rPr>
        <w:t xml:space="preserve"> </w:t>
      </w:r>
      <w:r>
        <w:rPr>
          <w:spacing w:val="-2"/>
        </w:rPr>
        <w:t>to</w:t>
      </w:r>
      <w:r>
        <w:rPr>
          <w:spacing w:val="-7"/>
        </w:rPr>
        <w:t xml:space="preserve"> </w:t>
      </w:r>
      <w:r>
        <w:rPr>
          <w:spacing w:val="-2"/>
        </w:rPr>
        <w:t>10</w:t>
      </w:r>
      <w:r>
        <w:rPr>
          <w:spacing w:val="-7"/>
        </w:rPr>
        <w:t xml:space="preserve"> </w:t>
      </w:r>
      <w:r>
        <w:rPr>
          <w:spacing w:val="-2"/>
        </w:rPr>
        <w:t>percent).</w:t>
      </w:r>
      <w:r>
        <w:rPr>
          <w:spacing w:val="-13"/>
        </w:rPr>
        <w:t xml:space="preserve"> </w:t>
      </w:r>
      <w:r>
        <w:rPr>
          <w:spacing w:val="-2"/>
        </w:rPr>
        <w:t>This</w:t>
      </w:r>
      <w:r>
        <w:rPr>
          <w:spacing w:val="-7"/>
        </w:rPr>
        <w:t xml:space="preserve"> </w:t>
      </w:r>
      <w:r>
        <w:rPr>
          <w:spacing w:val="-2"/>
        </w:rPr>
        <w:t>amount,</w:t>
      </w:r>
      <w:r>
        <w:rPr>
          <w:spacing w:val="-7"/>
        </w:rPr>
        <w:t xml:space="preserve"> </w:t>
      </w:r>
      <w:r>
        <w:rPr>
          <w:spacing w:val="-2"/>
        </w:rPr>
        <w:t>if</w:t>
      </w:r>
      <w:r>
        <w:rPr>
          <w:spacing w:val="-9"/>
        </w:rPr>
        <w:t xml:space="preserve"> </w:t>
      </w:r>
      <w:r>
        <w:rPr>
          <w:spacing w:val="-2"/>
        </w:rPr>
        <w:t>any,</w:t>
      </w:r>
      <w:r>
        <w:rPr>
          <w:spacing w:val="-7"/>
        </w:rPr>
        <w:t xml:space="preserve"> </w:t>
      </w:r>
      <w:r>
        <w:rPr>
          <w:spacing w:val="-2"/>
        </w:rPr>
        <w:t>is</w:t>
      </w:r>
      <w:r>
        <w:rPr>
          <w:spacing w:val="-7"/>
        </w:rPr>
        <w:t xml:space="preserve"> </w:t>
      </w:r>
      <w:r>
        <w:rPr>
          <w:spacing w:val="-2"/>
        </w:rPr>
        <w:t xml:space="preserve">separately </w:t>
      </w:r>
      <w:r>
        <w:t>determined</w:t>
      </w:r>
      <w:r>
        <w:rPr>
          <w:spacing w:val="-1"/>
        </w:rPr>
        <w:t xml:space="preserve"> </w:t>
      </w:r>
      <w:r>
        <w:t>for</w:t>
      </w:r>
      <w:r>
        <w:rPr>
          <w:spacing w:val="-2"/>
        </w:rPr>
        <w:t xml:space="preserve"> </w:t>
      </w:r>
      <w:r>
        <w:t>each</w:t>
      </w:r>
      <w:r>
        <w:rPr>
          <w:spacing w:val="-1"/>
        </w:rPr>
        <w:t xml:space="preserve"> </w:t>
      </w:r>
      <w:r>
        <w:t>funding</w:t>
      </w:r>
      <w:r>
        <w:rPr>
          <w:spacing w:val="-1"/>
        </w:rPr>
        <w:t xml:space="preserve"> </w:t>
      </w:r>
      <w:r>
        <w:t>stream.</w:t>
      </w:r>
      <w:r>
        <w:rPr>
          <w:spacing w:val="-1"/>
        </w:rPr>
        <w:t xml:space="preserve"> </w:t>
      </w:r>
      <w:r>
        <w:t>Per</w:t>
      </w:r>
      <w:r>
        <w:rPr>
          <w:spacing w:val="-2"/>
        </w:rPr>
        <w:t xml:space="preserve"> </w:t>
      </w:r>
      <w:r>
        <w:t>2</w:t>
      </w:r>
      <w:r>
        <w:rPr>
          <w:spacing w:val="-1"/>
        </w:rPr>
        <w:t xml:space="preserve"> </w:t>
      </w:r>
      <w:r>
        <w:t>CFR 200.1,</w:t>
      </w:r>
      <w:r>
        <w:rPr>
          <w:spacing w:val="-1"/>
        </w:rPr>
        <w:t xml:space="preserve"> </w:t>
      </w:r>
      <w:r>
        <w:t>financial</w:t>
      </w:r>
      <w:r>
        <w:rPr>
          <w:spacing w:val="-1"/>
        </w:rPr>
        <w:t xml:space="preserve"> </w:t>
      </w:r>
      <w:r>
        <w:t>obligations are</w:t>
      </w:r>
      <w:r>
        <w:rPr>
          <w:spacing w:val="-2"/>
        </w:rPr>
        <w:t xml:space="preserve"> </w:t>
      </w:r>
      <w:r>
        <w:t>defined</w:t>
      </w:r>
      <w:r>
        <w:rPr>
          <w:spacing w:val="-1"/>
        </w:rPr>
        <w:t xml:space="preserve"> </w:t>
      </w:r>
      <w:r>
        <w:t xml:space="preserve">as “when used in connection with a non-Federal entity’s utilization of funds under a </w:t>
      </w:r>
      <w:proofErr w:type="gramStart"/>
      <w:r>
        <w:t>Federal</w:t>
      </w:r>
      <w:proofErr w:type="gramEnd"/>
      <w:r>
        <w:t xml:space="preserve"> award, obligations mean orders placed for property and services, contracts and sub-awards made, and similar transactions during a given period that require payment by the non-Federal entity during the same or a future period”.</w:t>
      </w:r>
    </w:p>
    <w:p w14:paraId="413274C0" w14:textId="77777777" w:rsidR="00F36148" w:rsidRDefault="00F36148">
      <w:pPr>
        <w:pStyle w:val="BodyText"/>
        <w:ind w:left="0"/>
        <w:jc w:val="left"/>
      </w:pPr>
    </w:p>
    <w:p w14:paraId="47B5BBCC" w14:textId="77777777" w:rsidR="00F36148" w:rsidRDefault="00F36148">
      <w:pPr>
        <w:pStyle w:val="BodyText"/>
        <w:spacing w:before="84"/>
        <w:ind w:left="0"/>
        <w:jc w:val="left"/>
      </w:pPr>
    </w:p>
    <w:p w14:paraId="21F256FB" w14:textId="77777777" w:rsidR="00F36148" w:rsidRDefault="00E7521E">
      <w:pPr>
        <w:pStyle w:val="Heading2"/>
      </w:pPr>
      <w:r>
        <w:t>Expenditure</w:t>
      </w:r>
      <w:r>
        <w:rPr>
          <w:spacing w:val="-6"/>
        </w:rPr>
        <w:t xml:space="preserve"> </w:t>
      </w:r>
      <w:r>
        <w:rPr>
          <w:spacing w:val="-2"/>
        </w:rPr>
        <w:t>Requirement</w:t>
      </w:r>
    </w:p>
    <w:p w14:paraId="68FF94CD" w14:textId="77777777" w:rsidR="00F36148" w:rsidRPr="00E7521E" w:rsidRDefault="00E7521E" w:rsidP="00E7521E">
      <w:pPr>
        <w:pStyle w:val="BodyText"/>
        <w:spacing w:before="202" w:line="276" w:lineRule="auto"/>
        <w:ind w:right="359"/>
        <w:jc w:val="left"/>
      </w:pPr>
      <w:r w:rsidRPr="00E7521E">
        <w:t>T</w:t>
      </w:r>
      <w:r w:rsidRPr="00E7521E">
        <w:t>he</w:t>
      </w:r>
      <w:r w:rsidRPr="00E7521E">
        <w:rPr>
          <w:spacing w:val="-1"/>
        </w:rPr>
        <w:t xml:space="preserve"> </w:t>
      </w:r>
      <w:r w:rsidRPr="00E7521E">
        <w:t>DWS will</w:t>
      </w:r>
      <w:r w:rsidRPr="00E7521E">
        <w:rPr>
          <w:spacing w:val="-1"/>
        </w:rPr>
        <w:t xml:space="preserve"> </w:t>
      </w:r>
      <w:r w:rsidRPr="00E7521E">
        <w:t>review</w:t>
      </w:r>
      <w:r w:rsidRPr="00E7521E">
        <w:rPr>
          <w:spacing w:val="-1"/>
        </w:rPr>
        <w:t xml:space="preserve"> </w:t>
      </w:r>
      <w:r w:rsidRPr="00E7521E">
        <w:t>expenditures</w:t>
      </w:r>
      <w:r w:rsidRPr="00E7521E">
        <w:rPr>
          <w:spacing w:val="-1"/>
        </w:rPr>
        <w:t xml:space="preserve"> </w:t>
      </w:r>
      <w:r w:rsidRPr="00E7521E">
        <w:t>for each</w:t>
      </w:r>
      <w:r w:rsidRPr="00E7521E">
        <w:rPr>
          <w:spacing w:val="-4"/>
        </w:rPr>
        <w:t xml:space="preserve"> </w:t>
      </w:r>
      <w:r w:rsidRPr="00E7521E">
        <w:t>WDB at</w:t>
      </w:r>
      <w:r w:rsidRPr="00E7521E">
        <w:rPr>
          <w:spacing w:val="-1"/>
        </w:rPr>
        <w:t xml:space="preserve"> </w:t>
      </w:r>
      <w:r w:rsidRPr="00E7521E">
        <w:t>the</w:t>
      </w:r>
      <w:r w:rsidRPr="00E7521E">
        <w:rPr>
          <w:spacing w:val="-1"/>
        </w:rPr>
        <w:t xml:space="preserve"> </w:t>
      </w:r>
      <w:r w:rsidRPr="00E7521E">
        <w:t>end</w:t>
      </w:r>
      <w:r w:rsidRPr="00E7521E">
        <w:rPr>
          <w:spacing w:val="-1"/>
        </w:rPr>
        <w:t xml:space="preserve"> </w:t>
      </w:r>
      <w:r w:rsidRPr="00E7521E">
        <w:t>of</w:t>
      </w:r>
      <w:r w:rsidRPr="00E7521E">
        <w:rPr>
          <w:spacing w:val="-1"/>
        </w:rPr>
        <w:t xml:space="preserve"> </w:t>
      </w:r>
      <w:r w:rsidRPr="00E7521E">
        <w:t>the</w:t>
      </w:r>
      <w:r w:rsidRPr="00E7521E">
        <w:rPr>
          <w:spacing w:val="-1"/>
        </w:rPr>
        <w:t xml:space="preserve"> </w:t>
      </w:r>
      <w:r w:rsidRPr="00E7521E">
        <w:t>first</w:t>
      </w:r>
      <w:r w:rsidRPr="00E7521E">
        <w:rPr>
          <w:spacing w:val="-1"/>
        </w:rPr>
        <w:t xml:space="preserve"> </w:t>
      </w:r>
      <w:r w:rsidRPr="00E7521E">
        <w:t>program</w:t>
      </w:r>
      <w:r w:rsidRPr="00E7521E">
        <w:rPr>
          <w:spacing w:val="-1"/>
        </w:rPr>
        <w:t xml:space="preserve"> </w:t>
      </w:r>
      <w:r w:rsidRPr="00E7521E">
        <w:t>year,</w:t>
      </w:r>
      <w:r w:rsidRPr="00E7521E">
        <w:rPr>
          <w:spacing w:val="-1"/>
        </w:rPr>
        <w:t xml:space="preserve"> </w:t>
      </w:r>
      <w:r w:rsidRPr="00E7521E">
        <w:t>during</w:t>
      </w:r>
      <w:r w:rsidRPr="00E7521E">
        <w:rPr>
          <w:spacing w:val="-1"/>
        </w:rPr>
        <w:t xml:space="preserve"> </w:t>
      </w:r>
      <w:r w:rsidRPr="00E7521E">
        <w:t>the 13 month closeout. The DWS will notify the WDB whether each Local Board met the 70% minimum expenditure requirement.</w:t>
      </w:r>
    </w:p>
    <w:p w14:paraId="2FFC7077" w14:textId="77777777" w:rsidR="00F36148" w:rsidRPr="00E7521E" w:rsidRDefault="00E7521E" w:rsidP="00E7521E">
      <w:pPr>
        <w:pStyle w:val="BodyText"/>
        <w:spacing w:before="160" w:line="276" w:lineRule="auto"/>
        <w:ind w:right="355"/>
        <w:jc w:val="left"/>
      </w:pPr>
      <w:r w:rsidRPr="00E7521E">
        <w:t>Any</w:t>
      </w:r>
      <w:r w:rsidRPr="00E7521E">
        <w:rPr>
          <w:spacing w:val="-5"/>
        </w:rPr>
        <w:t xml:space="preserve"> </w:t>
      </w:r>
      <w:r w:rsidRPr="00E7521E">
        <w:t>WDB that does not meet the minimum expenditure</w:t>
      </w:r>
      <w:r w:rsidRPr="00E7521E">
        <w:rPr>
          <w:spacing w:val="-1"/>
        </w:rPr>
        <w:t xml:space="preserve"> </w:t>
      </w:r>
      <w:r w:rsidRPr="00E7521E">
        <w:t>requirement will be</w:t>
      </w:r>
      <w:r w:rsidRPr="00E7521E">
        <w:rPr>
          <w:spacing w:val="-1"/>
        </w:rPr>
        <w:t xml:space="preserve"> </w:t>
      </w:r>
      <w:r w:rsidRPr="00E7521E">
        <w:t>required to submit a corrective action plan to the DWS that provides reasons for not meeting the requirement and actions the</w:t>
      </w:r>
      <w:r w:rsidRPr="00E7521E">
        <w:rPr>
          <w:spacing w:val="-4"/>
        </w:rPr>
        <w:t xml:space="preserve"> </w:t>
      </w:r>
      <w:r w:rsidRPr="00E7521E">
        <w:t>WDB will take to address the training expenditure deficiencies.</w:t>
      </w:r>
      <w:r w:rsidRPr="00E7521E">
        <w:rPr>
          <w:spacing w:val="-3"/>
        </w:rPr>
        <w:t xml:space="preserve"> </w:t>
      </w:r>
      <w:r w:rsidRPr="00E7521E">
        <w:t>The corrective action plan will be due within 90 days of receiving DWS notification that the Local Board did not meet the</w:t>
      </w:r>
      <w:r w:rsidRPr="00E7521E">
        <w:rPr>
          <w:spacing w:val="-13"/>
        </w:rPr>
        <w:t xml:space="preserve"> </w:t>
      </w:r>
      <w:r w:rsidRPr="00E7521E">
        <w:t>expenditure</w:t>
      </w:r>
      <w:r w:rsidRPr="00E7521E">
        <w:rPr>
          <w:spacing w:val="-13"/>
        </w:rPr>
        <w:t xml:space="preserve"> </w:t>
      </w:r>
      <w:r w:rsidRPr="00E7521E">
        <w:t>requirement.</w:t>
      </w:r>
      <w:r w:rsidRPr="00E7521E">
        <w:rPr>
          <w:spacing w:val="-15"/>
        </w:rPr>
        <w:t xml:space="preserve"> </w:t>
      </w:r>
      <w:r w:rsidRPr="00E7521E">
        <w:t>The</w:t>
      </w:r>
      <w:r w:rsidRPr="00E7521E">
        <w:rPr>
          <w:spacing w:val="-13"/>
        </w:rPr>
        <w:t xml:space="preserve"> </w:t>
      </w:r>
      <w:r w:rsidRPr="00E7521E">
        <w:t>Local</w:t>
      </w:r>
      <w:r w:rsidRPr="00E7521E">
        <w:rPr>
          <w:spacing w:val="-11"/>
        </w:rPr>
        <w:t xml:space="preserve"> </w:t>
      </w:r>
      <w:r w:rsidRPr="00E7521E">
        <w:t>Board’s</w:t>
      </w:r>
      <w:r w:rsidRPr="00E7521E">
        <w:rPr>
          <w:spacing w:val="-11"/>
        </w:rPr>
        <w:t xml:space="preserve"> </w:t>
      </w:r>
      <w:r w:rsidRPr="00E7521E">
        <w:t>corrective</w:t>
      </w:r>
      <w:r w:rsidRPr="00E7521E">
        <w:rPr>
          <w:spacing w:val="-10"/>
        </w:rPr>
        <w:t xml:space="preserve"> </w:t>
      </w:r>
      <w:r w:rsidRPr="00E7521E">
        <w:t>action</w:t>
      </w:r>
      <w:r w:rsidRPr="00E7521E">
        <w:rPr>
          <w:spacing w:val="-12"/>
        </w:rPr>
        <w:t xml:space="preserve"> </w:t>
      </w:r>
      <w:r w:rsidRPr="00E7521E">
        <w:t>plan</w:t>
      </w:r>
      <w:r w:rsidRPr="00E7521E">
        <w:rPr>
          <w:spacing w:val="-12"/>
        </w:rPr>
        <w:t xml:space="preserve"> </w:t>
      </w:r>
      <w:r w:rsidRPr="00E7521E">
        <w:t>must</w:t>
      </w:r>
      <w:r w:rsidRPr="00E7521E">
        <w:rPr>
          <w:spacing w:val="-11"/>
        </w:rPr>
        <w:t xml:space="preserve"> </w:t>
      </w:r>
      <w:r w:rsidRPr="00E7521E">
        <w:t>be</w:t>
      </w:r>
      <w:r w:rsidRPr="00E7521E">
        <w:rPr>
          <w:spacing w:val="-13"/>
        </w:rPr>
        <w:t xml:space="preserve"> </w:t>
      </w:r>
      <w:r w:rsidRPr="00E7521E">
        <w:t>submitted</w:t>
      </w:r>
      <w:r w:rsidRPr="00E7521E">
        <w:rPr>
          <w:spacing w:val="-12"/>
        </w:rPr>
        <w:t xml:space="preserve"> </w:t>
      </w:r>
      <w:r w:rsidRPr="00E7521E">
        <w:t>by</w:t>
      </w:r>
      <w:r w:rsidRPr="00E7521E">
        <w:rPr>
          <w:spacing w:val="-12"/>
        </w:rPr>
        <w:t xml:space="preserve"> </w:t>
      </w:r>
      <w:r w:rsidRPr="00E7521E">
        <w:t>email to their assigned Planner.</w:t>
      </w:r>
    </w:p>
    <w:p w14:paraId="02733F9B" w14:textId="77777777" w:rsidR="00F36148" w:rsidRPr="00E7521E" w:rsidRDefault="00E7521E" w:rsidP="00E7521E">
      <w:pPr>
        <w:pStyle w:val="BodyText"/>
        <w:spacing w:before="160" w:line="276" w:lineRule="auto"/>
        <w:ind w:right="358"/>
        <w:jc w:val="left"/>
      </w:pPr>
      <w:r w:rsidRPr="00E7521E">
        <w:t>After</w:t>
      </w:r>
      <w:r w:rsidRPr="00E7521E">
        <w:rPr>
          <w:spacing w:val="-7"/>
        </w:rPr>
        <w:t xml:space="preserve"> </w:t>
      </w:r>
      <w:r w:rsidRPr="00E7521E">
        <w:t>the</w:t>
      </w:r>
      <w:r w:rsidRPr="00E7521E">
        <w:rPr>
          <w:spacing w:val="-7"/>
        </w:rPr>
        <w:t xml:space="preserve"> </w:t>
      </w:r>
      <w:r w:rsidRPr="00E7521E">
        <w:t>first</w:t>
      </w:r>
      <w:r w:rsidRPr="00E7521E">
        <w:rPr>
          <w:spacing w:val="-5"/>
        </w:rPr>
        <w:t xml:space="preserve"> </w:t>
      </w:r>
      <w:r w:rsidRPr="00E7521E">
        <w:t>year</w:t>
      </w:r>
      <w:r w:rsidRPr="00E7521E">
        <w:rPr>
          <w:spacing w:val="-7"/>
        </w:rPr>
        <w:t xml:space="preserve"> </w:t>
      </w:r>
      <w:r w:rsidRPr="00E7521E">
        <w:t>of</w:t>
      </w:r>
      <w:r w:rsidRPr="00E7521E">
        <w:rPr>
          <w:spacing w:val="-7"/>
        </w:rPr>
        <w:t xml:space="preserve"> </w:t>
      </w:r>
      <w:r w:rsidRPr="00E7521E">
        <w:t>noncompliance,</w:t>
      </w:r>
      <w:r w:rsidRPr="00E7521E">
        <w:rPr>
          <w:spacing w:val="-6"/>
        </w:rPr>
        <w:t xml:space="preserve"> </w:t>
      </w:r>
      <w:r w:rsidRPr="00E7521E">
        <w:t>a</w:t>
      </w:r>
      <w:r w:rsidRPr="00E7521E">
        <w:rPr>
          <w:spacing w:val="-7"/>
        </w:rPr>
        <w:t xml:space="preserve"> </w:t>
      </w:r>
      <w:r w:rsidRPr="00E7521E">
        <w:t>subsequent</w:t>
      </w:r>
      <w:r w:rsidRPr="00E7521E">
        <w:rPr>
          <w:spacing w:val="-5"/>
        </w:rPr>
        <w:t xml:space="preserve"> </w:t>
      </w:r>
      <w:r w:rsidRPr="00E7521E">
        <w:t>consecutive</w:t>
      </w:r>
      <w:r w:rsidRPr="00E7521E">
        <w:rPr>
          <w:spacing w:val="-7"/>
        </w:rPr>
        <w:t xml:space="preserve"> </w:t>
      </w:r>
      <w:r w:rsidRPr="00E7521E">
        <w:t>year</w:t>
      </w:r>
      <w:r w:rsidRPr="00E7521E">
        <w:rPr>
          <w:spacing w:val="-7"/>
        </w:rPr>
        <w:t xml:space="preserve"> </w:t>
      </w:r>
      <w:r w:rsidRPr="00E7521E">
        <w:t>of</w:t>
      </w:r>
      <w:r w:rsidRPr="00E7521E">
        <w:rPr>
          <w:spacing w:val="-7"/>
        </w:rPr>
        <w:t xml:space="preserve"> </w:t>
      </w:r>
      <w:r w:rsidRPr="00E7521E">
        <w:t>noncompliance</w:t>
      </w:r>
      <w:r w:rsidRPr="00E7521E">
        <w:rPr>
          <w:spacing w:val="-7"/>
        </w:rPr>
        <w:t xml:space="preserve"> </w:t>
      </w:r>
      <w:r w:rsidRPr="00E7521E">
        <w:t>will</w:t>
      </w:r>
      <w:r w:rsidRPr="00E7521E">
        <w:rPr>
          <w:spacing w:val="-5"/>
        </w:rPr>
        <w:t xml:space="preserve"> </w:t>
      </w:r>
      <w:r w:rsidRPr="00E7521E">
        <w:t>result in the DWS recapturing and reallocating a percentage of the local area funds and the WDB may not be eligible to receive additional state-issued awards.</w:t>
      </w:r>
      <w:r w:rsidRPr="00E7521E">
        <w:rPr>
          <w:spacing w:val="-1"/>
        </w:rPr>
        <w:t xml:space="preserve"> </w:t>
      </w:r>
      <w:r w:rsidRPr="00E7521E">
        <w:t>The percentage of recaptured funds will be determined after a financial analysis by DWS.</w:t>
      </w:r>
    </w:p>
    <w:p w14:paraId="1A5BBD88" w14:textId="77777777" w:rsidR="00F36148" w:rsidRDefault="00F36148">
      <w:pPr>
        <w:pStyle w:val="BodyText"/>
        <w:spacing w:line="276" w:lineRule="auto"/>
        <w:sectPr w:rsidR="00F36148">
          <w:footerReference w:type="default" r:id="rId6"/>
          <w:type w:val="continuous"/>
          <w:pgSz w:w="12240" w:h="15840"/>
          <w:pgMar w:top="1380" w:right="1080" w:bottom="1480" w:left="1080" w:header="0" w:footer="1294" w:gutter="0"/>
          <w:pgNumType w:start="1"/>
          <w:cols w:space="720"/>
        </w:sectPr>
      </w:pPr>
    </w:p>
    <w:p w14:paraId="4C82C1EE" w14:textId="77777777" w:rsidR="00F36148" w:rsidRDefault="00E7521E">
      <w:pPr>
        <w:pStyle w:val="Heading2"/>
        <w:spacing w:before="79" w:line="417" w:lineRule="auto"/>
        <w:ind w:right="7465"/>
        <w:jc w:val="both"/>
      </w:pPr>
      <w:r>
        <w:rPr>
          <w:spacing w:val="-2"/>
        </w:rPr>
        <w:lastRenderedPageBreak/>
        <w:t>Second</w:t>
      </w:r>
      <w:r>
        <w:rPr>
          <w:spacing w:val="-13"/>
        </w:rPr>
        <w:t xml:space="preserve"> </w:t>
      </w:r>
      <w:r>
        <w:rPr>
          <w:spacing w:val="-2"/>
        </w:rPr>
        <w:t>Program</w:t>
      </w:r>
      <w:r>
        <w:rPr>
          <w:spacing w:val="-13"/>
        </w:rPr>
        <w:t xml:space="preserve"> </w:t>
      </w:r>
      <w:r>
        <w:rPr>
          <w:spacing w:val="-2"/>
        </w:rPr>
        <w:t xml:space="preserve">Year </w:t>
      </w:r>
      <w:r>
        <w:t>Recapture</w:t>
      </w:r>
      <w:r>
        <w:rPr>
          <w:spacing w:val="-5"/>
        </w:rPr>
        <w:t xml:space="preserve"> </w:t>
      </w:r>
      <w:r>
        <w:t>of</w:t>
      </w:r>
      <w:r>
        <w:rPr>
          <w:spacing w:val="-5"/>
        </w:rPr>
        <w:t xml:space="preserve"> </w:t>
      </w:r>
      <w:r>
        <w:rPr>
          <w:spacing w:val="-2"/>
        </w:rPr>
        <w:t>Funding</w:t>
      </w:r>
    </w:p>
    <w:p w14:paraId="4F56A8CB" w14:textId="77777777" w:rsidR="00F36148" w:rsidRDefault="00E7521E" w:rsidP="00E7521E">
      <w:pPr>
        <w:pStyle w:val="BodyText"/>
        <w:spacing w:line="278" w:lineRule="auto"/>
        <w:ind w:right="357"/>
        <w:jc w:val="left"/>
      </w:pPr>
      <w:r>
        <w:t>The DWS shall determine, during the second quarter of the program year (PY) which funds are subject</w:t>
      </w:r>
      <w:r>
        <w:rPr>
          <w:spacing w:val="-4"/>
        </w:rPr>
        <w:t xml:space="preserve"> </w:t>
      </w:r>
      <w:r>
        <w:t>to</w:t>
      </w:r>
      <w:r>
        <w:rPr>
          <w:spacing w:val="-5"/>
        </w:rPr>
        <w:t xml:space="preserve"> </w:t>
      </w:r>
      <w:r>
        <w:t>be</w:t>
      </w:r>
      <w:r>
        <w:rPr>
          <w:spacing w:val="-6"/>
        </w:rPr>
        <w:t xml:space="preserve"> </w:t>
      </w:r>
      <w:r>
        <w:t>recaptured</w:t>
      </w:r>
      <w:r>
        <w:rPr>
          <w:spacing w:val="-3"/>
        </w:rPr>
        <w:t xml:space="preserve"> </w:t>
      </w:r>
      <w:r>
        <w:t>based</w:t>
      </w:r>
      <w:r>
        <w:rPr>
          <w:spacing w:val="-5"/>
        </w:rPr>
        <w:t xml:space="preserve"> </w:t>
      </w:r>
      <w:r>
        <w:t>on</w:t>
      </w:r>
      <w:r>
        <w:rPr>
          <w:spacing w:val="-5"/>
        </w:rPr>
        <w:t xml:space="preserve"> </w:t>
      </w:r>
      <w:r>
        <w:t>the</w:t>
      </w:r>
      <w:r>
        <w:rPr>
          <w:spacing w:val="-6"/>
        </w:rPr>
        <w:t xml:space="preserve"> </w:t>
      </w:r>
      <w:r>
        <w:t>unobligated</w:t>
      </w:r>
      <w:r>
        <w:rPr>
          <w:spacing w:val="-3"/>
        </w:rPr>
        <w:t xml:space="preserve"> </w:t>
      </w:r>
      <w:r>
        <w:t>balances</w:t>
      </w:r>
      <w:r>
        <w:rPr>
          <w:spacing w:val="-5"/>
        </w:rPr>
        <w:t xml:space="preserve"> </w:t>
      </w:r>
      <w:r>
        <w:t>of</w:t>
      </w:r>
      <w:r>
        <w:rPr>
          <w:spacing w:val="-6"/>
        </w:rPr>
        <w:t xml:space="preserve"> </w:t>
      </w:r>
      <w:r>
        <w:t>the</w:t>
      </w:r>
      <w:r>
        <w:rPr>
          <w:spacing w:val="-3"/>
        </w:rPr>
        <w:t xml:space="preserve"> </w:t>
      </w:r>
      <w:r>
        <w:t>allocated</w:t>
      </w:r>
      <w:r>
        <w:rPr>
          <w:spacing w:val="-3"/>
        </w:rPr>
        <w:t xml:space="preserve"> </w:t>
      </w:r>
      <w:r>
        <w:t>funds</w:t>
      </w:r>
      <w:r>
        <w:rPr>
          <w:spacing w:val="-5"/>
        </w:rPr>
        <w:t xml:space="preserve"> </w:t>
      </w:r>
      <w:r>
        <w:t>in</w:t>
      </w:r>
      <w:r>
        <w:rPr>
          <w:spacing w:val="-5"/>
        </w:rPr>
        <w:t xml:space="preserve"> </w:t>
      </w:r>
      <w:r>
        <w:t>the</w:t>
      </w:r>
      <w:r>
        <w:rPr>
          <w:spacing w:val="-6"/>
        </w:rPr>
        <w:t xml:space="preserve"> </w:t>
      </w:r>
      <w:r>
        <w:t>respective funding</w:t>
      </w:r>
      <w:r>
        <w:rPr>
          <w:spacing w:val="-6"/>
        </w:rPr>
        <w:t xml:space="preserve"> </w:t>
      </w:r>
      <w:r>
        <w:t>streams.</w:t>
      </w:r>
      <w:r>
        <w:rPr>
          <w:spacing w:val="-11"/>
        </w:rPr>
        <w:t xml:space="preserve"> </w:t>
      </w:r>
      <w:r>
        <w:t>The</w:t>
      </w:r>
      <w:r>
        <w:rPr>
          <w:spacing w:val="-4"/>
        </w:rPr>
        <w:t xml:space="preserve"> </w:t>
      </w:r>
      <w:r>
        <w:t>amount</w:t>
      </w:r>
      <w:r>
        <w:rPr>
          <w:spacing w:val="-5"/>
        </w:rPr>
        <w:t xml:space="preserve"> </w:t>
      </w:r>
      <w:r>
        <w:t>considered</w:t>
      </w:r>
      <w:r>
        <w:rPr>
          <w:spacing w:val="-6"/>
        </w:rPr>
        <w:t xml:space="preserve"> </w:t>
      </w:r>
      <w:r>
        <w:t>for</w:t>
      </w:r>
      <w:r>
        <w:rPr>
          <w:spacing w:val="-7"/>
        </w:rPr>
        <w:t xml:space="preserve"> </w:t>
      </w:r>
      <w:r>
        <w:t>recapture,</w:t>
      </w:r>
      <w:r>
        <w:rPr>
          <w:spacing w:val="-6"/>
        </w:rPr>
        <w:t xml:space="preserve"> </w:t>
      </w:r>
      <w:r>
        <w:t>if</w:t>
      </w:r>
      <w:r>
        <w:rPr>
          <w:spacing w:val="-7"/>
        </w:rPr>
        <w:t xml:space="preserve"> </w:t>
      </w:r>
      <w:r>
        <w:t>any,</w:t>
      </w:r>
      <w:r>
        <w:rPr>
          <w:spacing w:val="-6"/>
        </w:rPr>
        <w:t xml:space="preserve"> </w:t>
      </w:r>
      <w:r>
        <w:t>is</w:t>
      </w:r>
      <w:r>
        <w:rPr>
          <w:spacing w:val="-6"/>
        </w:rPr>
        <w:t xml:space="preserve"> </w:t>
      </w:r>
      <w:r>
        <w:t>equal</w:t>
      </w:r>
      <w:r>
        <w:rPr>
          <w:spacing w:val="-5"/>
        </w:rPr>
        <w:t xml:space="preserve"> </w:t>
      </w:r>
      <w:r>
        <w:t>to</w:t>
      </w:r>
      <w:r>
        <w:rPr>
          <w:spacing w:val="-6"/>
        </w:rPr>
        <w:t xml:space="preserve"> </w:t>
      </w:r>
      <w:r>
        <w:t>the</w:t>
      </w:r>
      <w:r>
        <w:rPr>
          <w:spacing w:val="-7"/>
        </w:rPr>
        <w:t xml:space="preserve"> </w:t>
      </w:r>
      <w:r>
        <w:t>amount</w:t>
      </w:r>
      <w:r>
        <w:rPr>
          <w:spacing w:val="-5"/>
        </w:rPr>
        <w:t xml:space="preserve"> </w:t>
      </w:r>
      <w:r>
        <w:t>by</w:t>
      </w:r>
      <w:r>
        <w:rPr>
          <w:spacing w:val="-6"/>
        </w:rPr>
        <w:t xml:space="preserve"> </w:t>
      </w:r>
      <w:r>
        <w:t>which</w:t>
      </w:r>
      <w:r>
        <w:rPr>
          <w:spacing w:val="-6"/>
        </w:rPr>
        <w:t xml:space="preserve"> </w:t>
      </w:r>
      <w:r>
        <w:t>the unobligated balance of the WDBs allotments for programs serving youth, adults, or dislocated workers, exceeds 20 percent of such allotments, less any amount reserved for the costs of administration</w:t>
      </w:r>
      <w:r>
        <w:rPr>
          <w:spacing w:val="-15"/>
        </w:rPr>
        <w:t xml:space="preserve"> </w:t>
      </w:r>
      <w:r>
        <w:t>(up</w:t>
      </w:r>
      <w:r>
        <w:rPr>
          <w:spacing w:val="-15"/>
        </w:rPr>
        <w:t xml:space="preserve"> </w:t>
      </w:r>
      <w:r>
        <w:t>to</w:t>
      </w:r>
      <w:r>
        <w:rPr>
          <w:spacing w:val="-15"/>
        </w:rPr>
        <w:t xml:space="preserve"> </w:t>
      </w:r>
      <w:r>
        <w:t>10</w:t>
      </w:r>
      <w:r>
        <w:rPr>
          <w:spacing w:val="-15"/>
        </w:rPr>
        <w:t xml:space="preserve"> </w:t>
      </w:r>
      <w:r>
        <w:t>percent).</w:t>
      </w:r>
      <w:r>
        <w:rPr>
          <w:spacing w:val="-15"/>
        </w:rPr>
        <w:t xml:space="preserve"> </w:t>
      </w:r>
      <w:r>
        <w:t>The</w:t>
      </w:r>
      <w:r>
        <w:rPr>
          <w:spacing w:val="-15"/>
        </w:rPr>
        <w:t xml:space="preserve"> </w:t>
      </w:r>
      <w:r>
        <w:t>amount</w:t>
      </w:r>
      <w:r>
        <w:rPr>
          <w:spacing w:val="-15"/>
        </w:rPr>
        <w:t xml:space="preserve"> </w:t>
      </w:r>
      <w:r>
        <w:t>to</w:t>
      </w:r>
      <w:r>
        <w:rPr>
          <w:spacing w:val="-15"/>
        </w:rPr>
        <w:t xml:space="preserve"> </w:t>
      </w:r>
      <w:r>
        <w:t>be</w:t>
      </w:r>
      <w:r>
        <w:rPr>
          <w:spacing w:val="-13"/>
        </w:rPr>
        <w:t xml:space="preserve"> </w:t>
      </w:r>
      <w:r>
        <w:t>recaptured</w:t>
      </w:r>
      <w:r>
        <w:rPr>
          <w:spacing w:val="-15"/>
        </w:rPr>
        <w:t xml:space="preserve"> </w:t>
      </w:r>
      <w:r>
        <w:t>will</w:t>
      </w:r>
      <w:r>
        <w:rPr>
          <w:spacing w:val="-14"/>
        </w:rPr>
        <w:t xml:space="preserve"> </w:t>
      </w:r>
      <w:r>
        <w:t>be</w:t>
      </w:r>
      <w:r>
        <w:rPr>
          <w:spacing w:val="-15"/>
        </w:rPr>
        <w:t xml:space="preserve"> </w:t>
      </w:r>
      <w:r>
        <w:t>determined</w:t>
      </w:r>
      <w:r>
        <w:rPr>
          <w:spacing w:val="-15"/>
        </w:rPr>
        <w:t xml:space="preserve"> </w:t>
      </w:r>
      <w:r>
        <w:t>for</w:t>
      </w:r>
      <w:r>
        <w:rPr>
          <w:spacing w:val="-15"/>
        </w:rPr>
        <w:t xml:space="preserve"> </w:t>
      </w:r>
      <w:r>
        <w:t>each</w:t>
      </w:r>
      <w:r>
        <w:rPr>
          <w:spacing w:val="-14"/>
        </w:rPr>
        <w:t xml:space="preserve"> </w:t>
      </w:r>
      <w:r>
        <w:t>funding stream.</w:t>
      </w:r>
      <w:r>
        <w:rPr>
          <w:spacing w:val="-5"/>
        </w:rPr>
        <w:t xml:space="preserve"> </w:t>
      </w:r>
      <w:r>
        <w:t>These</w:t>
      </w:r>
      <w:r>
        <w:rPr>
          <w:spacing w:val="-1"/>
        </w:rPr>
        <w:t xml:space="preserve"> </w:t>
      </w:r>
      <w:r>
        <w:t>funds will have</w:t>
      </w:r>
      <w:r>
        <w:rPr>
          <w:spacing w:val="-1"/>
        </w:rPr>
        <w:t xml:space="preserve"> </w:t>
      </w:r>
      <w:r>
        <w:t>the</w:t>
      </w:r>
      <w:r>
        <w:rPr>
          <w:spacing w:val="-1"/>
        </w:rPr>
        <w:t xml:space="preserve"> </w:t>
      </w:r>
      <w:r>
        <w:t>availability of</w:t>
      </w:r>
      <w:r>
        <w:rPr>
          <w:spacing w:val="-1"/>
        </w:rPr>
        <w:t xml:space="preserve"> </w:t>
      </w:r>
      <w:r>
        <w:t>being redistributed to the</w:t>
      </w:r>
      <w:r>
        <w:rPr>
          <w:spacing w:val="-1"/>
        </w:rPr>
        <w:t xml:space="preserve"> </w:t>
      </w:r>
      <w:r>
        <w:t>local areas that did not have a recapture of funds. Should funds be available for reallocation, local areas requ</w:t>
      </w:r>
      <w:r>
        <w:t xml:space="preserve">esting the additional funds shall submit documentation to substantiate the need for said funds. These funds shall be reallocated in the first month of the third quarter and shall be expended by the fourth </w:t>
      </w:r>
      <w:r>
        <w:rPr>
          <w:spacing w:val="-2"/>
        </w:rPr>
        <w:t>quarter.</w:t>
      </w:r>
    </w:p>
    <w:p w14:paraId="4A964BB6" w14:textId="77777777" w:rsidR="00F36148" w:rsidRDefault="00E7521E">
      <w:pPr>
        <w:pStyle w:val="Heading2"/>
        <w:spacing w:before="155"/>
        <w:jc w:val="both"/>
      </w:pPr>
      <w:r>
        <w:t>Reallocation</w:t>
      </w:r>
      <w:r>
        <w:rPr>
          <w:spacing w:val="-3"/>
        </w:rPr>
        <w:t xml:space="preserve"> </w:t>
      </w:r>
      <w:r>
        <w:t>of</w:t>
      </w:r>
      <w:r>
        <w:rPr>
          <w:spacing w:val="-3"/>
        </w:rPr>
        <w:t xml:space="preserve"> </w:t>
      </w:r>
      <w:r>
        <w:rPr>
          <w:spacing w:val="-2"/>
        </w:rPr>
        <w:t>Funding</w:t>
      </w:r>
    </w:p>
    <w:p w14:paraId="02E36867" w14:textId="77777777" w:rsidR="00F36148" w:rsidRDefault="00E7521E" w:rsidP="00E7521E">
      <w:pPr>
        <w:pStyle w:val="BodyText"/>
        <w:spacing w:before="201" w:line="278" w:lineRule="auto"/>
        <w:ind w:right="355"/>
        <w:jc w:val="left"/>
      </w:pPr>
      <w:r>
        <w:t>The</w:t>
      </w:r>
      <w:r>
        <w:rPr>
          <w:spacing w:val="-9"/>
        </w:rPr>
        <w:t xml:space="preserve"> </w:t>
      </w:r>
      <w:r>
        <w:t>DWS</w:t>
      </w:r>
      <w:r>
        <w:rPr>
          <w:spacing w:val="-7"/>
        </w:rPr>
        <w:t xml:space="preserve"> </w:t>
      </w:r>
      <w:r>
        <w:t>shall</w:t>
      </w:r>
      <w:r>
        <w:rPr>
          <w:spacing w:val="-8"/>
        </w:rPr>
        <w:t xml:space="preserve"> </w:t>
      </w:r>
      <w:r>
        <w:t>reallocate</w:t>
      </w:r>
      <w:r>
        <w:rPr>
          <w:spacing w:val="-9"/>
        </w:rPr>
        <w:t xml:space="preserve"> </w:t>
      </w:r>
      <w:r>
        <w:t>youth,</w:t>
      </w:r>
      <w:r>
        <w:rPr>
          <w:spacing w:val="-8"/>
        </w:rPr>
        <w:t xml:space="preserve"> </w:t>
      </w:r>
      <w:r>
        <w:t>adult,</w:t>
      </w:r>
      <w:r>
        <w:rPr>
          <w:spacing w:val="-8"/>
        </w:rPr>
        <w:t xml:space="preserve"> </w:t>
      </w:r>
      <w:r>
        <w:t>and</w:t>
      </w:r>
      <w:r>
        <w:rPr>
          <w:spacing w:val="-8"/>
        </w:rPr>
        <w:t xml:space="preserve"> </w:t>
      </w:r>
      <w:r>
        <w:t>dislocated</w:t>
      </w:r>
      <w:r>
        <w:rPr>
          <w:spacing w:val="-8"/>
        </w:rPr>
        <w:t xml:space="preserve"> </w:t>
      </w:r>
      <w:r>
        <w:t>worker</w:t>
      </w:r>
      <w:r>
        <w:rPr>
          <w:spacing w:val="-9"/>
        </w:rPr>
        <w:t xml:space="preserve"> </w:t>
      </w:r>
      <w:r>
        <w:t>funds</w:t>
      </w:r>
      <w:r>
        <w:rPr>
          <w:spacing w:val="-8"/>
        </w:rPr>
        <w:t xml:space="preserve"> </w:t>
      </w:r>
      <w:r>
        <w:t>among</w:t>
      </w:r>
      <w:r>
        <w:rPr>
          <w:spacing w:val="-6"/>
        </w:rPr>
        <w:t xml:space="preserve"> </w:t>
      </w:r>
      <w:r>
        <w:t>eligible</w:t>
      </w:r>
      <w:r>
        <w:rPr>
          <w:spacing w:val="-14"/>
        </w:rPr>
        <w:t xml:space="preserve"> </w:t>
      </w:r>
      <w:r>
        <w:t>WDBs</w:t>
      </w:r>
      <w:r>
        <w:rPr>
          <w:spacing w:val="-8"/>
        </w:rPr>
        <w:t xml:space="preserve"> </w:t>
      </w:r>
      <w:r>
        <w:t>per</w:t>
      </w:r>
      <w:r>
        <w:rPr>
          <w:spacing w:val="-9"/>
        </w:rPr>
        <w:t xml:space="preserve"> </w:t>
      </w:r>
      <w:r>
        <w:t>the provisions of WIOA Sections 127(c) and 133(c), respectively. To be eligible to receive a re-allotment of youth, adult, or dislocated worker funds under the redistribution procedures, a local area</w:t>
      </w:r>
      <w:r>
        <w:rPr>
          <w:spacing w:val="-9"/>
        </w:rPr>
        <w:t xml:space="preserve"> </w:t>
      </w:r>
      <w:r>
        <w:t>must</w:t>
      </w:r>
      <w:r>
        <w:rPr>
          <w:spacing w:val="-8"/>
        </w:rPr>
        <w:t xml:space="preserve"> </w:t>
      </w:r>
      <w:r>
        <w:t>have</w:t>
      </w:r>
      <w:r>
        <w:rPr>
          <w:spacing w:val="-9"/>
        </w:rPr>
        <w:t xml:space="preserve"> </w:t>
      </w:r>
      <w:r>
        <w:t>obligated</w:t>
      </w:r>
      <w:r>
        <w:rPr>
          <w:spacing w:val="-6"/>
        </w:rPr>
        <w:t xml:space="preserve"> </w:t>
      </w:r>
      <w:r>
        <w:t>at</w:t>
      </w:r>
      <w:r>
        <w:rPr>
          <w:spacing w:val="-8"/>
        </w:rPr>
        <w:t xml:space="preserve"> </w:t>
      </w:r>
      <w:r>
        <w:t>least</w:t>
      </w:r>
      <w:r>
        <w:rPr>
          <w:spacing w:val="-8"/>
        </w:rPr>
        <w:t xml:space="preserve"> </w:t>
      </w:r>
      <w:r>
        <w:t>80</w:t>
      </w:r>
      <w:r>
        <w:rPr>
          <w:spacing w:val="-8"/>
        </w:rPr>
        <w:t xml:space="preserve"> </w:t>
      </w:r>
      <w:r>
        <w:t>percent</w:t>
      </w:r>
      <w:r>
        <w:rPr>
          <w:spacing w:val="-8"/>
        </w:rPr>
        <w:t xml:space="preserve"> </w:t>
      </w:r>
      <w:r>
        <w:t>of</w:t>
      </w:r>
      <w:r>
        <w:rPr>
          <w:spacing w:val="-9"/>
        </w:rPr>
        <w:t xml:space="preserve"> </w:t>
      </w:r>
      <w:r>
        <w:t>the</w:t>
      </w:r>
      <w:r>
        <w:rPr>
          <w:spacing w:val="-7"/>
        </w:rPr>
        <w:t xml:space="preserve"> </w:t>
      </w:r>
      <w:r>
        <w:t>prior</w:t>
      </w:r>
      <w:r>
        <w:rPr>
          <w:spacing w:val="-9"/>
        </w:rPr>
        <w:t xml:space="preserve"> </w:t>
      </w:r>
      <w:r>
        <w:t>program</w:t>
      </w:r>
      <w:r>
        <w:rPr>
          <w:spacing w:val="-8"/>
        </w:rPr>
        <w:t xml:space="preserve"> </w:t>
      </w:r>
      <w:r>
        <w:t>year's</w:t>
      </w:r>
      <w:r>
        <w:rPr>
          <w:spacing w:val="-8"/>
        </w:rPr>
        <w:t xml:space="preserve"> </w:t>
      </w:r>
      <w:r>
        <w:t>allotment,</w:t>
      </w:r>
      <w:r>
        <w:rPr>
          <w:spacing w:val="-8"/>
        </w:rPr>
        <w:t xml:space="preserve"> </w:t>
      </w:r>
      <w:r>
        <w:t>less</w:t>
      </w:r>
      <w:r>
        <w:rPr>
          <w:spacing w:val="-8"/>
        </w:rPr>
        <w:t xml:space="preserve"> </w:t>
      </w:r>
      <w:r>
        <w:t>any</w:t>
      </w:r>
      <w:r>
        <w:rPr>
          <w:spacing w:val="-8"/>
        </w:rPr>
        <w:t xml:space="preserve"> </w:t>
      </w:r>
      <w:r>
        <w:t>amount reserved for the costs of administration of youth, adult, or dislocated worker funds. A WDB’s eligibility to receive additional funding is s</w:t>
      </w:r>
      <w:r>
        <w:t>eparately determined for each funding stream.</w:t>
      </w:r>
    </w:p>
    <w:p w14:paraId="6928DE61" w14:textId="77777777" w:rsidR="00F36148" w:rsidRDefault="00E7521E" w:rsidP="00E7521E">
      <w:pPr>
        <w:pStyle w:val="BodyText"/>
        <w:spacing w:before="158" w:line="278" w:lineRule="auto"/>
        <w:ind w:right="360"/>
        <w:jc w:val="left"/>
      </w:pPr>
      <w:r>
        <w:t>The</w:t>
      </w:r>
      <w:r>
        <w:rPr>
          <w:spacing w:val="-12"/>
        </w:rPr>
        <w:t xml:space="preserve"> </w:t>
      </w:r>
      <w:r>
        <w:t>local</w:t>
      </w:r>
      <w:r>
        <w:rPr>
          <w:spacing w:val="-10"/>
        </w:rPr>
        <w:t xml:space="preserve"> </w:t>
      </w:r>
      <w:r>
        <w:t>area</w:t>
      </w:r>
      <w:r>
        <w:rPr>
          <w:spacing w:val="-12"/>
        </w:rPr>
        <w:t xml:space="preserve"> </w:t>
      </w:r>
      <w:r>
        <w:t>must</w:t>
      </w:r>
      <w:r>
        <w:rPr>
          <w:spacing w:val="-10"/>
        </w:rPr>
        <w:t xml:space="preserve"> </w:t>
      </w:r>
      <w:r>
        <w:t>have</w:t>
      </w:r>
      <w:r>
        <w:rPr>
          <w:spacing w:val="-9"/>
        </w:rPr>
        <w:t xml:space="preserve"> </w:t>
      </w:r>
      <w:r>
        <w:t>expended</w:t>
      </w:r>
      <w:r>
        <w:rPr>
          <w:spacing w:val="-8"/>
        </w:rPr>
        <w:t xml:space="preserve"> </w:t>
      </w:r>
      <w:r>
        <w:t>all</w:t>
      </w:r>
      <w:r>
        <w:rPr>
          <w:spacing w:val="-10"/>
        </w:rPr>
        <w:t xml:space="preserve"> </w:t>
      </w:r>
      <w:r>
        <w:t>its</w:t>
      </w:r>
      <w:r>
        <w:rPr>
          <w:spacing w:val="-10"/>
        </w:rPr>
        <w:t xml:space="preserve"> </w:t>
      </w:r>
      <w:r>
        <w:t>funding</w:t>
      </w:r>
      <w:r>
        <w:rPr>
          <w:spacing w:val="-11"/>
        </w:rPr>
        <w:t xml:space="preserve"> </w:t>
      </w:r>
      <w:r>
        <w:t>for</w:t>
      </w:r>
      <w:r>
        <w:rPr>
          <w:spacing w:val="-11"/>
        </w:rPr>
        <w:t xml:space="preserve"> </w:t>
      </w:r>
      <w:r>
        <w:t>the</w:t>
      </w:r>
      <w:r>
        <w:rPr>
          <w:spacing w:val="-12"/>
        </w:rPr>
        <w:t xml:space="preserve"> </w:t>
      </w:r>
      <w:r>
        <w:t>funding</w:t>
      </w:r>
      <w:r>
        <w:rPr>
          <w:spacing w:val="-11"/>
        </w:rPr>
        <w:t xml:space="preserve"> </w:t>
      </w:r>
      <w:r>
        <w:t>stream</w:t>
      </w:r>
      <w:r>
        <w:rPr>
          <w:spacing w:val="-10"/>
        </w:rPr>
        <w:t xml:space="preserve"> </w:t>
      </w:r>
      <w:r>
        <w:t>in</w:t>
      </w:r>
      <w:r>
        <w:rPr>
          <w:spacing w:val="-8"/>
        </w:rPr>
        <w:t xml:space="preserve"> </w:t>
      </w:r>
      <w:r>
        <w:t>which</w:t>
      </w:r>
      <w:r>
        <w:rPr>
          <w:spacing w:val="-11"/>
        </w:rPr>
        <w:t xml:space="preserve"> </w:t>
      </w:r>
      <w:r>
        <w:t>they</w:t>
      </w:r>
      <w:r>
        <w:rPr>
          <w:spacing w:val="-11"/>
        </w:rPr>
        <w:t xml:space="preserve"> </w:t>
      </w:r>
      <w:r>
        <w:t>are</w:t>
      </w:r>
      <w:r>
        <w:rPr>
          <w:spacing w:val="-12"/>
        </w:rPr>
        <w:t xml:space="preserve"> </w:t>
      </w:r>
      <w:r>
        <w:t>seeking additional funds. The local area requesting the additional funding must have met all program outcomes outlined in their grant administration agreement.</w:t>
      </w:r>
    </w:p>
    <w:p w14:paraId="5FE81A76" w14:textId="77777777" w:rsidR="00F36148" w:rsidRDefault="00E7521E">
      <w:pPr>
        <w:pStyle w:val="BodyText"/>
        <w:spacing w:before="160"/>
      </w:pPr>
      <w:r>
        <w:t>For</w:t>
      </w:r>
      <w:r>
        <w:rPr>
          <w:spacing w:val="-3"/>
        </w:rPr>
        <w:t xml:space="preserve"> </w:t>
      </w:r>
      <w:r>
        <w:rPr>
          <w:spacing w:val="-2"/>
        </w:rPr>
        <w:t>example:</w:t>
      </w:r>
    </w:p>
    <w:p w14:paraId="664C0EEF" w14:textId="77777777" w:rsidR="00F36148" w:rsidRDefault="00F36148">
      <w:pPr>
        <w:pStyle w:val="BodyText"/>
        <w:spacing w:before="7"/>
        <w:ind w:left="0"/>
        <w:jc w:val="left"/>
        <w:rPr>
          <w:sz w:val="17"/>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72"/>
        <w:gridCol w:w="1872"/>
        <w:gridCol w:w="1872"/>
        <w:gridCol w:w="1872"/>
      </w:tblGrid>
      <w:tr w:rsidR="00F36148" w14:paraId="30DD3DA0" w14:textId="77777777">
        <w:trPr>
          <w:trHeight w:val="577"/>
        </w:trPr>
        <w:tc>
          <w:tcPr>
            <w:tcW w:w="1872" w:type="dxa"/>
          </w:tcPr>
          <w:p w14:paraId="0EE5E083" w14:textId="77777777" w:rsidR="00F36148" w:rsidRDefault="00E7521E">
            <w:pPr>
              <w:pStyle w:val="TableParagraph"/>
              <w:spacing w:before="1"/>
              <w:ind w:left="614" w:right="324" w:hanging="233"/>
              <w:jc w:val="left"/>
              <w:rPr>
                <w:b/>
                <w:sz w:val="24"/>
              </w:rPr>
            </w:pPr>
            <w:r>
              <w:rPr>
                <w:b/>
                <w:spacing w:val="-2"/>
                <w:sz w:val="24"/>
              </w:rPr>
              <w:t xml:space="preserve">Applicable </w:t>
            </w:r>
            <w:r>
              <w:rPr>
                <w:b/>
                <w:spacing w:val="-4"/>
                <w:sz w:val="24"/>
              </w:rPr>
              <w:t>Funds</w:t>
            </w:r>
          </w:p>
        </w:tc>
        <w:tc>
          <w:tcPr>
            <w:tcW w:w="1872" w:type="dxa"/>
          </w:tcPr>
          <w:p w14:paraId="23E2B478" w14:textId="77777777" w:rsidR="00F36148" w:rsidRDefault="00E7521E">
            <w:pPr>
              <w:pStyle w:val="TableParagraph"/>
              <w:spacing w:before="1"/>
              <w:ind w:right="64"/>
              <w:rPr>
                <w:b/>
                <w:sz w:val="24"/>
              </w:rPr>
            </w:pPr>
            <w:r>
              <w:rPr>
                <w:b/>
                <w:sz w:val="24"/>
              </w:rPr>
              <w:t xml:space="preserve">80% </w:t>
            </w:r>
            <w:r>
              <w:rPr>
                <w:b/>
                <w:spacing w:val="-2"/>
                <w:sz w:val="24"/>
              </w:rPr>
              <w:t>Obligated</w:t>
            </w:r>
          </w:p>
        </w:tc>
        <w:tc>
          <w:tcPr>
            <w:tcW w:w="1872" w:type="dxa"/>
          </w:tcPr>
          <w:p w14:paraId="4B321FE2" w14:textId="77777777" w:rsidR="00F36148" w:rsidRDefault="00E7521E">
            <w:pPr>
              <w:pStyle w:val="TableParagraph"/>
              <w:spacing w:before="1"/>
              <w:ind w:left="338" w:right="324" w:firstLine="276"/>
              <w:jc w:val="left"/>
              <w:rPr>
                <w:b/>
                <w:sz w:val="24"/>
              </w:rPr>
            </w:pPr>
            <w:r>
              <w:rPr>
                <w:b/>
                <w:spacing w:val="-4"/>
                <w:sz w:val="24"/>
              </w:rPr>
              <w:t xml:space="preserve">Funds </w:t>
            </w:r>
            <w:r>
              <w:rPr>
                <w:b/>
                <w:spacing w:val="-2"/>
                <w:sz w:val="24"/>
              </w:rPr>
              <w:t>Recaptured</w:t>
            </w:r>
          </w:p>
        </w:tc>
        <w:tc>
          <w:tcPr>
            <w:tcW w:w="1872" w:type="dxa"/>
          </w:tcPr>
          <w:p w14:paraId="5CFDF518" w14:textId="77777777" w:rsidR="00F36148" w:rsidRDefault="00E7521E">
            <w:pPr>
              <w:pStyle w:val="TableParagraph"/>
              <w:spacing w:before="1"/>
              <w:ind w:left="335" w:right="324" w:firstLine="278"/>
              <w:jc w:val="left"/>
              <w:rPr>
                <w:b/>
                <w:sz w:val="24"/>
              </w:rPr>
            </w:pPr>
            <w:r>
              <w:rPr>
                <w:b/>
                <w:spacing w:val="-4"/>
                <w:sz w:val="24"/>
              </w:rPr>
              <w:t xml:space="preserve">Funds </w:t>
            </w:r>
            <w:r>
              <w:rPr>
                <w:b/>
                <w:spacing w:val="-2"/>
                <w:sz w:val="24"/>
              </w:rPr>
              <w:t>Reallocated</w:t>
            </w:r>
          </w:p>
        </w:tc>
        <w:tc>
          <w:tcPr>
            <w:tcW w:w="1872" w:type="dxa"/>
          </w:tcPr>
          <w:p w14:paraId="15B08B50" w14:textId="77777777" w:rsidR="00F36148" w:rsidRDefault="00E7521E">
            <w:pPr>
              <w:pStyle w:val="TableParagraph"/>
              <w:spacing w:before="1"/>
              <w:ind w:right="0"/>
              <w:rPr>
                <w:b/>
                <w:sz w:val="24"/>
              </w:rPr>
            </w:pPr>
            <w:r>
              <w:rPr>
                <w:b/>
                <w:sz w:val="24"/>
              </w:rPr>
              <w:t>Funds</w:t>
            </w:r>
            <w:r>
              <w:rPr>
                <w:b/>
                <w:spacing w:val="-1"/>
                <w:sz w:val="24"/>
              </w:rPr>
              <w:t xml:space="preserve"> </w:t>
            </w:r>
            <w:r>
              <w:rPr>
                <w:b/>
                <w:spacing w:val="-2"/>
                <w:sz w:val="24"/>
              </w:rPr>
              <w:t>Expire</w:t>
            </w:r>
          </w:p>
        </w:tc>
      </w:tr>
      <w:tr w:rsidR="00F36148" w14:paraId="35FBE9C3" w14:textId="77777777">
        <w:trPr>
          <w:trHeight w:val="575"/>
        </w:trPr>
        <w:tc>
          <w:tcPr>
            <w:tcW w:w="1872" w:type="dxa"/>
          </w:tcPr>
          <w:p w14:paraId="3291FA7E" w14:textId="77777777" w:rsidR="00F36148" w:rsidRDefault="00E7521E">
            <w:pPr>
              <w:pStyle w:val="TableParagraph"/>
              <w:rPr>
                <w:b/>
                <w:sz w:val="24"/>
              </w:rPr>
            </w:pPr>
            <w:r>
              <w:rPr>
                <w:b/>
                <w:spacing w:val="-4"/>
                <w:sz w:val="24"/>
              </w:rPr>
              <w:t>PY23</w:t>
            </w:r>
          </w:p>
        </w:tc>
        <w:tc>
          <w:tcPr>
            <w:tcW w:w="1872" w:type="dxa"/>
          </w:tcPr>
          <w:p w14:paraId="254385AC" w14:textId="77777777" w:rsidR="00F36148" w:rsidRDefault="00E7521E">
            <w:pPr>
              <w:pStyle w:val="TableParagraph"/>
              <w:ind w:right="68"/>
              <w:rPr>
                <w:sz w:val="24"/>
              </w:rPr>
            </w:pPr>
            <w:r>
              <w:rPr>
                <w:sz w:val="24"/>
              </w:rPr>
              <w:t>April-June</w:t>
            </w:r>
            <w:r>
              <w:rPr>
                <w:spacing w:val="-4"/>
                <w:sz w:val="24"/>
              </w:rPr>
              <w:t xml:space="preserve"> 2024</w:t>
            </w:r>
          </w:p>
        </w:tc>
        <w:tc>
          <w:tcPr>
            <w:tcW w:w="1872" w:type="dxa"/>
          </w:tcPr>
          <w:p w14:paraId="2A6BDF6B" w14:textId="77777777" w:rsidR="00F36148" w:rsidRDefault="00E7521E">
            <w:pPr>
              <w:pStyle w:val="TableParagraph"/>
              <w:rPr>
                <w:sz w:val="24"/>
              </w:rPr>
            </w:pPr>
            <w:r>
              <w:rPr>
                <w:sz w:val="24"/>
              </w:rPr>
              <w:t>Oct-Dec</w:t>
            </w:r>
            <w:r>
              <w:rPr>
                <w:spacing w:val="-4"/>
                <w:sz w:val="24"/>
              </w:rPr>
              <w:t xml:space="preserve"> 2024</w:t>
            </w:r>
          </w:p>
        </w:tc>
        <w:tc>
          <w:tcPr>
            <w:tcW w:w="1872" w:type="dxa"/>
          </w:tcPr>
          <w:p w14:paraId="0766CDBD" w14:textId="77777777" w:rsidR="00F36148" w:rsidRDefault="00E7521E">
            <w:pPr>
              <w:pStyle w:val="TableParagraph"/>
              <w:rPr>
                <w:sz w:val="24"/>
              </w:rPr>
            </w:pPr>
            <w:r>
              <w:rPr>
                <w:sz w:val="24"/>
              </w:rPr>
              <w:t>January</w:t>
            </w:r>
            <w:r>
              <w:rPr>
                <w:spacing w:val="-3"/>
                <w:sz w:val="24"/>
              </w:rPr>
              <w:t xml:space="preserve"> </w:t>
            </w:r>
            <w:r>
              <w:rPr>
                <w:spacing w:val="-4"/>
                <w:sz w:val="24"/>
              </w:rPr>
              <w:t>2025</w:t>
            </w:r>
          </w:p>
        </w:tc>
        <w:tc>
          <w:tcPr>
            <w:tcW w:w="1872" w:type="dxa"/>
          </w:tcPr>
          <w:p w14:paraId="0DEF722D" w14:textId="77777777" w:rsidR="00F36148" w:rsidRDefault="00E7521E">
            <w:pPr>
              <w:pStyle w:val="TableParagraph"/>
              <w:ind w:right="63"/>
              <w:rPr>
                <w:sz w:val="24"/>
              </w:rPr>
            </w:pPr>
            <w:r>
              <w:rPr>
                <w:sz w:val="24"/>
              </w:rPr>
              <w:t>June</w:t>
            </w:r>
            <w:r>
              <w:rPr>
                <w:spacing w:val="-1"/>
                <w:sz w:val="24"/>
              </w:rPr>
              <w:t xml:space="preserve"> </w:t>
            </w:r>
            <w:r>
              <w:rPr>
                <w:spacing w:val="-4"/>
                <w:sz w:val="24"/>
              </w:rPr>
              <w:t>2025</w:t>
            </w:r>
          </w:p>
        </w:tc>
      </w:tr>
      <w:tr w:rsidR="00F36148" w14:paraId="59B98C94" w14:textId="77777777">
        <w:trPr>
          <w:trHeight w:val="575"/>
        </w:trPr>
        <w:tc>
          <w:tcPr>
            <w:tcW w:w="1872" w:type="dxa"/>
          </w:tcPr>
          <w:p w14:paraId="1C43A746" w14:textId="77777777" w:rsidR="00F36148" w:rsidRDefault="00E7521E">
            <w:pPr>
              <w:pStyle w:val="TableParagraph"/>
              <w:rPr>
                <w:b/>
                <w:sz w:val="24"/>
              </w:rPr>
            </w:pPr>
            <w:r>
              <w:rPr>
                <w:b/>
                <w:spacing w:val="-4"/>
                <w:sz w:val="24"/>
              </w:rPr>
              <w:t>PY24</w:t>
            </w:r>
          </w:p>
        </w:tc>
        <w:tc>
          <w:tcPr>
            <w:tcW w:w="1872" w:type="dxa"/>
          </w:tcPr>
          <w:p w14:paraId="6A74DC34" w14:textId="77777777" w:rsidR="00F36148" w:rsidRDefault="00E7521E">
            <w:pPr>
              <w:pStyle w:val="TableParagraph"/>
              <w:ind w:right="68"/>
              <w:rPr>
                <w:sz w:val="24"/>
              </w:rPr>
            </w:pPr>
            <w:r>
              <w:rPr>
                <w:sz w:val="24"/>
              </w:rPr>
              <w:t>April-June</w:t>
            </w:r>
            <w:r>
              <w:rPr>
                <w:spacing w:val="-4"/>
                <w:sz w:val="24"/>
              </w:rPr>
              <w:t xml:space="preserve"> 2025</w:t>
            </w:r>
          </w:p>
        </w:tc>
        <w:tc>
          <w:tcPr>
            <w:tcW w:w="1872" w:type="dxa"/>
          </w:tcPr>
          <w:p w14:paraId="2030A470" w14:textId="77777777" w:rsidR="00F36148" w:rsidRDefault="00E7521E">
            <w:pPr>
              <w:pStyle w:val="TableParagraph"/>
              <w:rPr>
                <w:sz w:val="24"/>
              </w:rPr>
            </w:pPr>
            <w:r>
              <w:rPr>
                <w:sz w:val="24"/>
              </w:rPr>
              <w:t>Oct-Dec</w:t>
            </w:r>
            <w:r>
              <w:rPr>
                <w:spacing w:val="-4"/>
                <w:sz w:val="24"/>
              </w:rPr>
              <w:t xml:space="preserve"> 2025</w:t>
            </w:r>
          </w:p>
        </w:tc>
        <w:tc>
          <w:tcPr>
            <w:tcW w:w="1872" w:type="dxa"/>
          </w:tcPr>
          <w:p w14:paraId="05212599" w14:textId="77777777" w:rsidR="00F36148" w:rsidRDefault="00E7521E">
            <w:pPr>
              <w:pStyle w:val="TableParagraph"/>
              <w:rPr>
                <w:sz w:val="24"/>
              </w:rPr>
            </w:pPr>
            <w:r>
              <w:rPr>
                <w:sz w:val="24"/>
              </w:rPr>
              <w:t>January</w:t>
            </w:r>
            <w:r>
              <w:rPr>
                <w:spacing w:val="-3"/>
                <w:sz w:val="24"/>
              </w:rPr>
              <w:t xml:space="preserve"> </w:t>
            </w:r>
            <w:r>
              <w:rPr>
                <w:spacing w:val="-4"/>
                <w:sz w:val="24"/>
              </w:rPr>
              <w:t>2026</w:t>
            </w:r>
          </w:p>
        </w:tc>
        <w:tc>
          <w:tcPr>
            <w:tcW w:w="1872" w:type="dxa"/>
          </w:tcPr>
          <w:p w14:paraId="63AC07F1" w14:textId="77777777" w:rsidR="00F36148" w:rsidRDefault="00E7521E">
            <w:pPr>
              <w:pStyle w:val="TableParagraph"/>
              <w:ind w:right="63"/>
              <w:rPr>
                <w:sz w:val="24"/>
              </w:rPr>
            </w:pPr>
            <w:r>
              <w:rPr>
                <w:sz w:val="24"/>
              </w:rPr>
              <w:t>June</w:t>
            </w:r>
            <w:r>
              <w:rPr>
                <w:spacing w:val="-1"/>
                <w:sz w:val="24"/>
              </w:rPr>
              <w:t xml:space="preserve"> </w:t>
            </w:r>
            <w:r>
              <w:rPr>
                <w:spacing w:val="-4"/>
                <w:sz w:val="24"/>
              </w:rPr>
              <w:t>2026</w:t>
            </w:r>
          </w:p>
        </w:tc>
      </w:tr>
      <w:tr w:rsidR="00F36148" w14:paraId="79DEF8E3" w14:textId="77777777">
        <w:trPr>
          <w:trHeight w:val="575"/>
        </w:trPr>
        <w:tc>
          <w:tcPr>
            <w:tcW w:w="1872" w:type="dxa"/>
          </w:tcPr>
          <w:p w14:paraId="3E52F669" w14:textId="77777777" w:rsidR="00F36148" w:rsidRDefault="00E7521E">
            <w:pPr>
              <w:pStyle w:val="TableParagraph"/>
              <w:spacing w:before="150"/>
              <w:rPr>
                <w:b/>
                <w:sz w:val="24"/>
              </w:rPr>
            </w:pPr>
            <w:r>
              <w:rPr>
                <w:b/>
                <w:spacing w:val="-4"/>
                <w:sz w:val="24"/>
              </w:rPr>
              <w:t>PY25</w:t>
            </w:r>
          </w:p>
        </w:tc>
        <w:tc>
          <w:tcPr>
            <w:tcW w:w="1872" w:type="dxa"/>
          </w:tcPr>
          <w:p w14:paraId="0FC40286" w14:textId="77777777" w:rsidR="00F36148" w:rsidRDefault="00E7521E">
            <w:pPr>
              <w:pStyle w:val="TableParagraph"/>
              <w:spacing w:before="150"/>
              <w:ind w:right="68"/>
              <w:rPr>
                <w:sz w:val="24"/>
              </w:rPr>
            </w:pPr>
            <w:r>
              <w:rPr>
                <w:sz w:val="24"/>
              </w:rPr>
              <w:t>April-June</w:t>
            </w:r>
            <w:r>
              <w:rPr>
                <w:spacing w:val="-4"/>
                <w:sz w:val="24"/>
              </w:rPr>
              <w:t xml:space="preserve"> 2026</w:t>
            </w:r>
          </w:p>
        </w:tc>
        <w:tc>
          <w:tcPr>
            <w:tcW w:w="1872" w:type="dxa"/>
          </w:tcPr>
          <w:p w14:paraId="6DA18321" w14:textId="77777777" w:rsidR="00F36148" w:rsidRDefault="00E7521E">
            <w:pPr>
              <w:pStyle w:val="TableParagraph"/>
              <w:spacing w:before="150"/>
              <w:rPr>
                <w:sz w:val="24"/>
              </w:rPr>
            </w:pPr>
            <w:r>
              <w:rPr>
                <w:sz w:val="24"/>
              </w:rPr>
              <w:t>Oct-Dec</w:t>
            </w:r>
            <w:r>
              <w:rPr>
                <w:spacing w:val="-4"/>
                <w:sz w:val="24"/>
              </w:rPr>
              <w:t xml:space="preserve"> 2026</w:t>
            </w:r>
          </w:p>
        </w:tc>
        <w:tc>
          <w:tcPr>
            <w:tcW w:w="1872" w:type="dxa"/>
          </w:tcPr>
          <w:p w14:paraId="68306885" w14:textId="77777777" w:rsidR="00F36148" w:rsidRDefault="00E7521E">
            <w:pPr>
              <w:pStyle w:val="TableParagraph"/>
              <w:spacing w:before="150"/>
              <w:rPr>
                <w:sz w:val="24"/>
              </w:rPr>
            </w:pPr>
            <w:r>
              <w:rPr>
                <w:sz w:val="24"/>
              </w:rPr>
              <w:t>January</w:t>
            </w:r>
            <w:r>
              <w:rPr>
                <w:spacing w:val="-3"/>
                <w:sz w:val="24"/>
              </w:rPr>
              <w:t xml:space="preserve"> </w:t>
            </w:r>
            <w:r>
              <w:rPr>
                <w:spacing w:val="-4"/>
                <w:sz w:val="24"/>
              </w:rPr>
              <w:t>2027</w:t>
            </w:r>
          </w:p>
        </w:tc>
        <w:tc>
          <w:tcPr>
            <w:tcW w:w="1872" w:type="dxa"/>
          </w:tcPr>
          <w:p w14:paraId="2426A6F0" w14:textId="77777777" w:rsidR="00F36148" w:rsidRDefault="00E7521E">
            <w:pPr>
              <w:pStyle w:val="TableParagraph"/>
              <w:spacing w:before="150"/>
              <w:ind w:right="63"/>
              <w:rPr>
                <w:sz w:val="24"/>
              </w:rPr>
            </w:pPr>
            <w:r>
              <w:rPr>
                <w:sz w:val="24"/>
              </w:rPr>
              <w:t>June</w:t>
            </w:r>
            <w:r>
              <w:rPr>
                <w:spacing w:val="-1"/>
                <w:sz w:val="24"/>
              </w:rPr>
              <w:t xml:space="preserve"> </w:t>
            </w:r>
            <w:r>
              <w:rPr>
                <w:spacing w:val="-4"/>
                <w:sz w:val="24"/>
              </w:rPr>
              <w:t>2027</w:t>
            </w:r>
          </w:p>
        </w:tc>
      </w:tr>
    </w:tbl>
    <w:p w14:paraId="79FF030A" w14:textId="77777777" w:rsidR="00E7521E" w:rsidRDefault="00E7521E"/>
    <w:sectPr w:rsidR="00000000">
      <w:pgSz w:w="12240" w:h="15840"/>
      <w:pgMar w:top="1360" w:right="1080" w:bottom="1480" w:left="1080" w:header="0" w:footer="12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D2A65" w14:textId="77777777" w:rsidR="00E7521E" w:rsidRDefault="00E7521E">
      <w:r>
        <w:separator/>
      </w:r>
    </w:p>
  </w:endnote>
  <w:endnote w:type="continuationSeparator" w:id="0">
    <w:p w14:paraId="4E288230" w14:textId="77777777" w:rsidR="00E7521E" w:rsidRDefault="00E75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2826" w14:textId="77777777" w:rsidR="00F36148" w:rsidRDefault="00E7521E">
    <w:pPr>
      <w:pStyle w:val="BodyText"/>
      <w:spacing w:line="14" w:lineRule="auto"/>
      <w:ind w:left="0"/>
      <w:jc w:val="left"/>
      <w:rPr>
        <w:sz w:val="20"/>
      </w:rPr>
    </w:pPr>
    <w:r>
      <w:rPr>
        <w:noProof/>
        <w:sz w:val="20"/>
      </w:rPr>
      <mc:AlternateContent>
        <mc:Choice Requires="wps">
          <w:drawing>
            <wp:anchor distT="0" distB="0" distL="0" distR="0" simplePos="0" relativeHeight="487529472" behindDoc="1" locked="0" layoutInCell="1" allowOverlap="1" wp14:anchorId="24DAF72A" wp14:editId="7F48D262">
              <wp:simplePos x="0" y="0"/>
              <wp:positionH relativeFrom="page">
                <wp:posOffset>5249671</wp:posOffset>
              </wp:positionH>
              <wp:positionV relativeFrom="page">
                <wp:posOffset>9096698</wp:posOffset>
              </wp:positionV>
              <wp:extent cx="1622425"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2425" cy="372110"/>
                      </a:xfrm>
                      <a:prstGeom prst="rect">
                        <a:avLst/>
                      </a:prstGeom>
                    </wps:spPr>
                    <wps:txbx>
                      <w:txbxContent>
                        <w:p w14:paraId="27BBE86C" w14:textId="77777777" w:rsidR="00F36148" w:rsidRDefault="00E7521E">
                          <w:pPr>
                            <w:spacing w:before="14"/>
                            <w:ind w:right="18"/>
                            <w:jc w:val="right"/>
                            <w:rPr>
                              <w:sz w:val="16"/>
                            </w:rPr>
                          </w:pPr>
                          <w:r>
                            <w:rPr>
                              <w:sz w:val="16"/>
                            </w:rPr>
                            <w:t>Commission</w:t>
                          </w:r>
                          <w:r>
                            <w:rPr>
                              <w:spacing w:val="-11"/>
                              <w:sz w:val="16"/>
                            </w:rPr>
                            <w:t xml:space="preserve"> </w:t>
                          </w:r>
                          <w:r>
                            <w:rPr>
                              <w:sz w:val="16"/>
                            </w:rPr>
                            <w:t>Policy</w:t>
                          </w:r>
                          <w:r>
                            <w:rPr>
                              <w:spacing w:val="-7"/>
                              <w:sz w:val="16"/>
                            </w:rPr>
                            <w:t xml:space="preserve"> </w:t>
                          </w:r>
                          <w:r>
                            <w:rPr>
                              <w:sz w:val="16"/>
                            </w:rPr>
                            <w:t>Statement</w:t>
                          </w:r>
                          <w:r>
                            <w:rPr>
                              <w:spacing w:val="-10"/>
                              <w:sz w:val="16"/>
                            </w:rPr>
                            <w:t xml:space="preserve"> </w:t>
                          </w:r>
                          <w:r>
                            <w:rPr>
                              <w:sz w:val="16"/>
                            </w:rPr>
                            <w:t>03-</w:t>
                          </w:r>
                          <w:r>
                            <w:rPr>
                              <w:spacing w:val="-4"/>
                              <w:sz w:val="16"/>
                            </w:rPr>
                            <w:t>2025</w:t>
                          </w:r>
                        </w:p>
                        <w:p w14:paraId="6ED04395" w14:textId="77777777" w:rsidR="00F36148" w:rsidRDefault="00E7521E">
                          <w:pPr>
                            <w:ind w:left="1810" w:right="20" w:hanging="41"/>
                            <w:jc w:val="right"/>
                            <w:rPr>
                              <w:sz w:val="16"/>
                            </w:rPr>
                          </w:pPr>
                          <w:r>
                            <w:rPr>
                              <w:spacing w:val="-2"/>
                              <w:sz w:val="16"/>
                            </w:rPr>
                            <w:t>Attachment</w:t>
                          </w:r>
                          <w:r>
                            <w:rPr>
                              <w:spacing w:val="40"/>
                              <w:sz w:val="16"/>
                            </w:rPr>
                            <w:t xml:space="preserve"> </w:t>
                          </w:r>
                          <w:r>
                            <w:rPr>
                              <w:sz w:val="16"/>
                            </w:rPr>
                            <w:t>Page</w:t>
                          </w:r>
                          <w:r>
                            <w:rPr>
                              <w:spacing w:val="-5"/>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3"/>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type w14:anchorId="24DAF72A" id="_x0000_t202" coordsize="21600,21600" o:spt="202" path="m,l,21600r21600,l21600,xe">
              <v:stroke joinstyle="miter"/>
              <v:path gradientshapeok="t" o:connecttype="rect"/>
            </v:shapetype>
            <v:shape id="Textbox 1" o:spid="_x0000_s1026" type="#_x0000_t202" style="position:absolute;margin-left:413.35pt;margin-top:716.3pt;width:127.75pt;height:29.3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" filled="f" stroked="f">
              <v:textbox inset="0,0,0,0">
                <w:txbxContent>
                  <w:p w14:paraId="27BBE86C" w14:textId="77777777" w:rsidR="00F36148" w:rsidRDefault="00E7521E">
                    <w:pPr>
                      <w:spacing w:before="14"/>
                      <w:ind w:right="18"/>
                      <w:jc w:val="right"/>
                      <w:rPr>
                        <w:sz w:val="16"/>
                      </w:rPr>
                    </w:pPr>
                    <w:r>
                      <w:rPr>
                        <w:sz w:val="16"/>
                      </w:rPr>
                      <w:t>Commission</w:t>
                    </w:r>
                    <w:r>
                      <w:rPr>
                        <w:spacing w:val="-11"/>
                        <w:sz w:val="16"/>
                      </w:rPr>
                      <w:t xml:space="preserve"> </w:t>
                    </w:r>
                    <w:r>
                      <w:rPr>
                        <w:sz w:val="16"/>
                      </w:rPr>
                      <w:t>Policy</w:t>
                    </w:r>
                    <w:r>
                      <w:rPr>
                        <w:spacing w:val="-7"/>
                        <w:sz w:val="16"/>
                      </w:rPr>
                      <w:t xml:space="preserve"> </w:t>
                    </w:r>
                    <w:r>
                      <w:rPr>
                        <w:sz w:val="16"/>
                      </w:rPr>
                      <w:t>Statement</w:t>
                    </w:r>
                    <w:r>
                      <w:rPr>
                        <w:spacing w:val="-10"/>
                        <w:sz w:val="16"/>
                      </w:rPr>
                      <w:t xml:space="preserve"> </w:t>
                    </w:r>
                    <w:r>
                      <w:rPr>
                        <w:sz w:val="16"/>
                      </w:rPr>
                      <w:t>03-</w:t>
                    </w:r>
                    <w:r>
                      <w:rPr>
                        <w:spacing w:val="-4"/>
                        <w:sz w:val="16"/>
                      </w:rPr>
                      <w:t>2025</w:t>
                    </w:r>
                  </w:p>
                  <w:p w14:paraId="6ED04395" w14:textId="77777777" w:rsidR="00F36148" w:rsidRDefault="00E7521E">
                    <w:pPr>
                      <w:ind w:left="1810" w:right="20" w:hanging="41"/>
                      <w:jc w:val="right"/>
                      <w:rPr>
                        <w:sz w:val="16"/>
                      </w:rPr>
                    </w:pPr>
                    <w:r>
                      <w:rPr>
                        <w:spacing w:val="-2"/>
                        <w:sz w:val="16"/>
                      </w:rPr>
                      <w:t>Attachment</w:t>
                    </w:r>
                    <w:r>
                      <w:rPr>
                        <w:spacing w:val="40"/>
                        <w:sz w:val="16"/>
                      </w:rPr>
                      <w:t xml:space="preserve"> </w:t>
                    </w:r>
                    <w:r>
                      <w:rPr>
                        <w:sz w:val="16"/>
                      </w:rPr>
                      <w:t>Page</w:t>
                    </w:r>
                    <w:r>
                      <w:rPr>
                        <w:spacing w:val="-5"/>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3"/>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2</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B779" w14:textId="77777777" w:rsidR="00E7521E" w:rsidRDefault="00E7521E">
      <w:r>
        <w:separator/>
      </w:r>
    </w:p>
  </w:footnote>
  <w:footnote w:type="continuationSeparator" w:id="0">
    <w:p w14:paraId="67B68533" w14:textId="77777777" w:rsidR="00E7521E" w:rsidRDefault="00E75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36148"/>
    <w:rsid w:val="00317078"/>
    <w:rsid w:val="00E7521E"/>
    <w:rsid w:val="00F3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89BA"/>
  <w15:docId w15:val="{6D6DF707-2F62-44E3-8121-4D6DEC7C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360"/>
      <w:outlineLvl w:val="0"/>
    </w:pPr>
    <w:rPr>
      <w:b/>
      <w:bCs/>
      <w:sz w:val="28"/>
      <w:szCs w:val="28"/>
    </w:rPr>
  </w:style>
  <w:style w:type="paragraph" w:styleId="Heading2">
    <w:name w:val="heading 2"/>
    <w:basedOn w:val="Normal"/>
    <w:uiPriority w:val="9"/>
    <w:unhideWhenUsed/>
    <w:qFormat/>
    <w:pPr>
      <w:spacing w:before="1"/>
      <w:ind w:left="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47"/>
      <w:ind w:left="72" w:right="6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Berlina Y</dc:creator>
  <dc:description/>
  <cp:lastModifiedBy>Cassar, Salvatore</cp:lastModifiedBy>
  <cp:revision>2</cp:revision>
  <dcterms:created xsi:type="dcterms:W3CDTF">2026-04-17T19:45:00Z</dcterms:created>
  <dcterms:modified xsi:type="dcterms:W3CDTF">2026-04-17T19:45:00Z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Acrobat PDFMaker 25 for Word</vt:lpwstr>
  </property>
  <property fmtid="{D5CDD505-2E9C-101B-9397-08002B2CF9AE}" pid="4" name="GrammarlyDocumentId">
    <vt:lpwstr>6b233ba8-3755-4aab-9612-e7e2cf5afff9</vt:lpwstr>
  </property>
  <property fmtid="{D5CDD505-2E9C-101B-9397-08002B2CF9AE}" pid="5" name="LastSaved">
    <vt:filetime>2026-04-17T00:00:00Z</vt:filetime>
  </property>
  <property fmtid="{D5CDD505-2E9C-101B-9397-08002B2CF9AE}" pid="6" name="Producer">
    <vt:lpwstr>Adobe PDF Library 25.1.250</vt:lpwstr>
  </property>
  <property fmtid="{D5CDD505-2E9C-101B-9397-08002B2CF9AE}" pid="7" name="SourceModified">
    <vt:lpwstr>D:20250514184345</vt:lpwstr>
  </property>
</Properties>
</file>