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AC89" w14:textId="77777777" w:rsidR="00C12298" w:rsidRDefault="004A0A3E">
      <w:pPr>
        <w:pStyle w:val="Heading1"/>
      </w:pPr>
      <w:r>
        <w:t>Waiver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1C42EB3F" w14:textId="77777777" w:rsidR="00C12298" w:rsidRDefault="004A0A3E" w:rsidP="004A0A3E">
      <w:pPr>
        <w:pStyle w:val="BodyText"/>
        <w:spacing w:before="243"/>
        <w:ind w:left="261" w:right="179"/>
        <w:jc w:val="left"/>
      </w:pPr>
      <w:r>
        <w:t xml:space="preserve">The Workforce Innovation and Opportunity Act (WIOA) states that Local Area Workforce Development Boards (WDBs) must procure providers of Adult, Youth, and Dislocated Worker training services and maintain a very clear and distinct firewall between the </w:t>
      </w:r>
      <w:proofErr w:type="gramStart"/>
      <w:r>
        <w:t>WDB</w:t>
      </w:r>
      <w:proofErr w:type="gramEnd"/>
      <w:r>
        <w:t xml:space="preserve"> and the services delivered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customers.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WIOA</w:t>
      </w:r>
      <w:r>
        <w:rPr>
          <w:spacing w:val="-15"/>
        </w:rPr>
        <w:t xml:space="preserve"> </w:t>
      </w:r>
      <w:r>
        <w:t>does,</w:t>
      </w:r>
      <w:r>
        <w:rPr>
          <w:spacing w:val="-14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allow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opportunity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waiver</w:t>
      </w:r>
      <w:r>
        <w:rPr>
          <w:spacing w:val="-1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Governor to allow the WDB to provide direct training services if certain criteria are met.</w:t>
      </w:r>
    </w:p>
    <w:p w14:paraId="4E47A3E1" w14:textId="77777777" w:rsidR="00C12298" w:rsidRDefault="00C12298">
      <w:pPr>
        <w:pStyle w:val="BodyText"/>
        <w:ind w:left="0"/>
        <w:jc w:val="left"/>
      </w:pPr>
    </w:p>
    <w:p w14:paraId="2D66E055" w14:textId="77777777" w:rsidR="00C12298" w:rsidRDefault="004A0A3E" w:rsidP="004A0A3E">
      <w:pPr>
        <w:pStyle w:val="BodyText"/>
        <w:spacing w:before="1" w:line="276" w:lineRule="auto"/>
        <w:ind w:right="177"/>
        <w:jc w:val="left"/>
      </w:pPr>
      <w:r>
        <w:t>Any WDB that wishes to directly provide training services to customers through its staff or through the staff of the WDB’s Administrative Entity must submit a waiver request to the Division of Workforce Solutions (DWS), who is designated by the Governor as the state’s administrative entity for WIOA, that contains responses to the prompts below.</w:t>
      </w:r>
    </w:p>
    <w:p w14:paraId="5EB8DE71" w14:textId="77777777" w:rsidR="00C12298" w:rsidRDefault="004A0A3E">
      <w:pPr>
        <w:pStyle w:val="Heading2"/>
        <w:rPr>
          <w:u w:val="none"/>
        </w:rPr>
      </w:pPr>
      <w:r>
        <w:t>Training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Waiver</w:t>
      </w:r>
    </w:p>
    <w:p w14:paraId="753A6C6A" w14:textId="77777777" w:rsidR="00C12298" w:rsidRDefault="004A0A3E" w:rsidP="004A0A3E">
      <w:pPr>
        <w:pStyle w:val="BodyText"/>
        <w:spacing w:before="240" w:line="276" w:lineRule="auto"/>
        <w:ind w:right="183"/>
        <w:jc w:val="left"/>
      </w:pPr>
      <w:r>
        <w:t>The</w:t>
      </w:r>
      <w:r>
        <w:rPr>
          <w:spacing w:val="-7"/>
        </w:rPr>
        <w:t xml:space="preserve"> </w:t>
      </w:r>
      <w:r>
        <w:t>WDBs</w:t>
      </w:r>
      <w:r>
        <w:rPr>
          <w:spacing w:val="-6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waiver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only,</w:t>
      </w:r>
      <w:r>
        <w:rPr>
          <w:spacing w:val="-6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on-the-job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incumbent worker activities, will need to provide responses that speak to the following:</w:t>
      </w:r>
    </w:p>
    <w:p w14:paraId="5D5E16C4" w14:textId="53CC3BAC" w:rsidR="00C12298" w:rsidRDefault="004A0A3E" w:rsidP="004A0A3E">
      <w:pPr>
        <w:pStyle w:val="ListParagraph"/>
        <w:numPr>
          <w:ilvl w:val="0"/>
          <w:numId w:val="1"/>
        </w:numPr>
        <w:tabs>
          <w:tab w:val="left" w:pos="976"/>
          <w:tab w:val="left" w:pos="979"/>
          <w:tab w:val="left" w:pos="2383"/>
          <w:tab w:val="left" w:pos="3974"/>
          <w:tab w:val="left" w:pos="4857"/>
          <w:tab w:val="left" w:pos="5983"/>
          <w:tab w:val="left" w:pos="6772"/>
          <w:tab w:val="left" w:pos="8270"/>
          <w:tab w:val="left" w:pos="9153"/>
        </w:tabs>
        <w:spacing w:before="201" w:line="276" w:lineRule="auto"/>
        <w:jc w:val="left"/>
        <w:rPr>
          <w:sz w:val="24"/>
        </w:rPr>
      </w:pPr>
      <w:r>
        <w:rPr>
          <w:sz w:val="24"/>
        </w:rPr>
        <w:t xml:space="preserve">Information demonstrating satisfactory evidence that there is an insufficient number of </w:t>
      </w:r>
      <w:r>
        <w:rPr>
          <w:spacing w:val="-2"/>
          <w:sz w:val="24"/>
        </w:rPr>
        <w:t xml:space="preserve">eligible </w:t>
      </w:r>
      <w:r>
        <w:rPr>
          <w:spacing w:val="-2"/>
          <w:sz w:val="24"/>
        </w:rPr>
        <w:t xml:space="preserve">providers </w:t>
      </w:r>
      <w:r>
        <w:rPr>
          <w:spacing w:val="-6"/>
          <w:sz w:val="24"/>
        </w:rPr>
        <w:t xml:space="preserve">of </w:t>
      </w:r>
      <w:r>
        <w:rPr>
          <w:spacing w:val="-4"/>
          <w:sz w:val="24"/>
        </w:rPr>
        <w:t xml:space="preserve">such </w:t>
      </w:r>
      <w:r>
        <w:rPr>
          <w:spacing w:val="-10"/>
          <w:sz w:val="24"/>
        </w:rPr>
        <w:t xml:space="preserve">a </w:t>
      </w:r>
      <w:r>
        <w:rPr>
          <w:spacing w:val="-2"/>
          <w:sz w:val="24"/>
        </w:rPr>
        <w:t xml:space="preserve">program </w:t>
      </w:r>
      <w:r>
        <w:rPr>
          <w:spacing w:val="-6"/>
          <w:sz w:val="24"/>
        </w:rPr>
        <w:t xml:space="preserve">of </w:t>
      </w:r>
      <w:r>
        <w:rPr>
          <w:spacing w:val="-2"/>
          <w:sz w:val="24"/>
        </w:rPr>
        <w:t xml:space="preserve">training </w:t>
      </w:r>
      <w:r>
        <w:rPr>
          <w:sz w:val="24"/>
        </w:rPr>
        <w:t xml:space="preserve">services to meet local demand in the local </w:t>
      </w:r>
      <w:proofErr w:type="gramStart"/>
      <w:r>
        <w:rPr>
          <w:sz w:val="24"/>
        </w:rPr>
        <w:t>area;</w:t>
      </w:r>
      <w:proofErr w:type="gramEnd"/>
    </w:p>
    <w:p w14:paraId="7D9C4B92" w14:textId="77777777" w:rsidR="00C12298" w:rsidRDefault="00C12298">
      <w:pPr>
        <w:pStyle w:val="BodyText"/>
        <w:spacing w:before="41"/>
        <w:ind w:left="0"/>
        <w:jc w:val="left"/>
      </w:pPr>
    </w:p>
    <w:p w14:paraId="700C0F3B" w14:textId="77777777" w:rsidR="00C12298" w:rsidRDefault="004A0A3E" w:rsidP="004A0A3E">
      <w:pPr>
        <w:pStyle w:val="ListParagraph"/>
        <w:numPr>
          <w:ilvl w:val="0"/>
          <w:numId w:val="1"/>
        </w:numPr>
        <w:tabs>
          <w:tab w:val="left" w:pos="977"/>
          <w:tab w:val="left" w:pos="979"/>
        </w:tabs>
        <w:spacing w:line="276" w:lineRule="auto"/>
        <w:ind w:right="179" w:hanging="581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30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30"/>
          <w:sz w:val="24"/>
        </w:rPr>
        <w:t xml:space="preserve"> </w:t>
      </w:r>
      <w:r>
        <w:rPr>
          <w:sz w:val="24"/>
        </w:rPr>
        <w:t>that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WDB</w:t>
      </w:r>
      <w:r>
        <w:rPr>
          <w:spacing w:val="31"/>
          <w:sz w:val="24"/>
        </w:rPr>
        <w:t xml:space="preserve"> </w:t>
      </w:r>
      <w:r>
        <w:rPr>
          <w:sz w:val="24"/>
        </w:rPr>
        <w:t>meets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an</w:t>
      </w:r>
      <w:r>
        <w:rPr>
          <w:spacing w:val="33"/>
          <w:sz w:val="24"/>
        </w:rPr>
        <w:t xml:space="preserve"> </w:t>
      </w:r>
      <w:r>
        <w:rPr>
          <w:sz w:val="24"/>
        </w:rPr>
        <w:t>eligible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provider of training services under WIOA section </w:t>
      </w:r>
      <w:proofErr w:type="gramStart"/>
      <w:r>
        <w:rPr>
          <w:sz w:val="24"/>
        </w:rPr>
        <w:t>122;</w:t>
      </w:r>
      <w:proofErr w:type="gramEnd"/>
    </w:p>
    <w:p w14:paraId="19B1398E" w14:textId="77777777" w:rsidR="00C12298" w:rsidRDefault="004A0A3E">
      <w:pPr>
        <w:pStyle w:val="ListParagraph"/>
        <w:numPr>
          <w:ilvl w:val="0"/>
          <w:numId w:val="1"/>
        </w:numPr>
        <w:tabs>
          <w:tab w:val="left" w:pos="979"/>
        </w:tabs>
        <w:spacing w:before="268" w:line="276" w:lineRule="auto"/>
        <w:ind w:right="180" w:hanging="660"/>
        <w:jc w:val="left"/>
        <w:rPr>
          <w:sz w:val="24"/>
        </w:rPr>
      </w:pPr>
      <w:r>
        <w:rPr>
          <w:sz w:val="24"/>
        </w:rPr>
        <w:t>Information demonstrating that the program of training services prepares participants for an in-demand industry sector or occupation in the local area; and</w:t>
      </w:r>
    </w:p>
    <w:p w14:paraId="3EF9BE73" w14:textId="105F6D18" w:rsidR="00C12298" w:rsidRDefault="004A0A3E">
      <w:pPr>
        <w:pStyle w:val="BodyText"/>
        <w:spacing w:before="42"/>
        <w:ind w:left="0"/>
        <w:jc w:val="left"/>
      </w:pPr>
      <w:r>
        <w:t xml:space="preserve"> </w:t>
      </w:r>
    </w:p>
    <w:p w14:paraId="0E0C0EA8" w14:textId="77777777" w:rsidR="00C12298" w:rsidRDefault="004A0A3E">
      <w:pPr>
        <w:pStyle w:val="ListParagraph"/>
        <w:numPr>
          <w:ilvl w:val="0"/>
          <w:numId w:val="1"/>
        </w:numPr>
        <w:tabs>
          <w:tab w:val="left" w:pos="979"/>
        </w:tabs>
        <w:spacing w:line="276" w:lineRule="auto"/>
        <w:ind w:right="181" w:hanging="675"/>
        <w:jc w:val="left"/>
        <w:rPr>
          <w:sz w:val="24"/>
        </w:rPr>
      </w:pPr>
      <w:r>
        <w:rPr>
          <w:sz w:val="24"/>
        </w:rPr>
        <w:t>A</w:t>
      </w:r>
      <w:r>
        <w:rPr>
          <w:spacing w:val="78"/>
          <w:sz w:val="24"/>
        </w:rPr>
        <w:t xml:space="preserve"> </w:t>
      </w:r>
      <w:r>
        <w:rPr>
          <w:sz w:val="24"/>
        </w:rPr>
        <w:t>description</w:t>
      </w:r>
      <w:r>
        <w:rPr>
          <w:spacing w:val="78"/>
          <w:sz w:val="24"/>
        </w:rPr>
        <w:t xml:space="preserve"> </w:t>
      </w:r>
      <w:r>
        <w:rPr>
          <w:sz w:val="24"/>
        </w:rPr>
        <w:t>of</w:t>
      </w:r>
      <w:r>
        <w:rPr>
          <w:spacing w:val="77"/>
          <w:sz w:val="24"/>
        </w:rPr>
        <w:t xml:space="preserve"> </w:t>
      </w:r>
      <w:r>
        <w:rPr>
          <w:sz w:val="24"/>
        </w:rPr>
        <w:t>the</w:t>
      </w:r>
      <w:r>
        <w:rPr>
          <w:spacing w:val="77"/>
          <w:sz w:val="24"/>
        </w:rPr>
        <w:t xml:space="preserve"> </w:t>
      </w:r>
      <w:r>
        <w:rPr>
          <w:sz w:val="24"/>
        </w:rPr>
        <w:t>clear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78"/>
          <w:sz w:val="24"/>
        </w:rPr>
        <w:t xml:space="preserve"> </w:t>
      </w:r>
      <w:r>
        <w:rPr>
          <w:sz w:val="24"/>
        </w:rPr>
        <w:t>distinct</w:t>
      </w:r>
      <w:r>
        <w:rPr>
          <w:spacing w:val="80"/>
          <w:sz w:val="24"/>
        </w:rPr>
        <w:t xml:space="preserve"> </w:t>
      </w:r>
      <w:r>
        <w:rPr>
          <w:sz w:val="24"/>
        </w:rPr>
        <w:t>firewall</w:t>
      </w:r>
      <w:r>
        <w:rPr>
          <w:spacing w:val="79"/>
          <w:sz w:val="24"/>
        </w:rPr>
        <w:t xml:space="preserve"> </w:t>
      </w:r>
      <w:r>
        <w:rPr>
          <w:sz w:val="24"/>
        </w:rPr>
        <w:t>between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WDB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78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services delivered to customers.</w:t>
      </w:r>
    </w:p>
    <w:p w14:paraId="7F9B0471" w14:textId="77777777" w:rsidR="00C12298" w:rsidRDefault="004A0A3E" w:rsidP="004A0A3E">
      <w:pPr>
        <w:pStyle w:val="BodyText"/>
        <w:spacing w:before="200" w:line="276" w:lineRule="auto"/>
        <w:ind w:right="176"/>
        <w:jc w:val="left"/>
      </w:pPr>
      <w:r>
        <w:rPr>
          <w:b/>
        </w:rPr>
        <w:t>D</w:t>
      </w:r>
      <w:r>
        <w:rPr>
          <w:b/>
        </w:rPr>
        <w:t xml:space="preserve">uration: </w:t>
      </w:r>
      <w:r>
        <w:t>A waiver granted to a WDB shall apply for a period that shall not exceed the term of the Local Area Plan. The</w:t>
      </w:r>
      <w:r>
        <w:rPr>
          <w:spacing w:val="-1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may be renewed for additional periods based upon evidence</w:t>
      </w:r>
      <w:r>
        <w:rPr>
          <w:spacing w:val="-1"/>
        </w:rPr>
        <w:t xml:space="preserve"> </w:t>
      </w:r>
      <w:r>
        <w:t>submitted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DWS,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WDB</w:t>
      </w:r>
      <w:r>
        <w:rPr>
          <w:spacing w:val="-1"/>
        </w:rPr>
        <w:t xml:space="preserve"> </w:t>
      </w:r>
      <w:r>
        <w:t>continues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provisions</w:t>
      </w:r>
      <w:r>
        <w:rPr>
          <w:spacing w:val="-1"/>
        </w:rPr>
        <w:t xml:space="preserve"> </w:t>
      </w:r>
      <w:r>
        <w:t xml:space="preserve">stated </w:t>
      </w:r>
      <w:r>
        <w:rPr>
          <w:spacing w:val="-2"/>
        </w:rPr>
        <w:t>above.</w:t>
      </w:r>
    </w:p>
    <w:p w14:paraId="790652D7" w14:textId="77777777" w:rsidR="00C12298" w:rsidRDefault="004A0A3E" w:rsidP="004A0A3E">
      <w:pPr>
        <w:pStyle w:val="BodyText"/>
        <w:spacing w:before="200" w:line="276" w:lineRule="auto"/>
        <w:ind w:right="127"/>
        <w:jc w:val="left"/>
      </w:pPr>
      <w:r>
        <w:rPr>
          <w:b/>
        </w:rPr>
        <w:t>Revocation:</w:t>
      </w:r>
      <w:r>
        <w:rPr>
          <w:b/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DWS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behalf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Governor</w:t>
      </w:r>
      <w:r>
        <w:rPr>
          <w:spacing w:val="-12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authority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revoke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waiver</w:t>
      </w:r>
      <w:r>
        <w:rPr>
          <w:spacing w:val="-11"/>
        </w:rPr>
        <w:t xml:space="preserve"> </w:t>
      </w:r>
      <w:r>
        <w:t>during the appropriate period described in the preceding paragraph if it determines the waiver is no longer needed, the WDB involved has engaged in a pattern of inappropriate referrals to training services operated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WDB,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WDB</w:t>
      </w:r>
      <w:r>
        <w:rPr>
          <w:spacing w:val="-12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failed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meet</w:t>
      </w:r>
      <w:r>
        <w:rPr>
          <w:spacing w:val="-13"/>
        </w:rPr>
        <w:t xml:space="preserve"> </w:t>
      </w:r>
      <w:r>
        <w:t>performance</w:t>
      </w:r>
      <w:r>
        <w:rPr>
          <w:spacing w:val="-14"/>
        </w:rPr>
        <w:t xml:space="preserve"> </w:t>
      </w:r>
      <w:r>
        <w:t>expectations,</w:t>
      </w:r>
      <w:r>
        <w:rPr>
          <w:spacing w:val="-13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irregularities in the competitive procurement process, or the WDB has committed a sanctionable act per the NCWorks Commission Policy Statement Local Workforce Board Sanctions and Appeal Policy.</w:t>
      </w:r>
    </w:p>
    <w:p w14:paraId="02A5029D" w14:textId="77777777" w:rsidR="00C12298" w:rsidRDefault="004A0A3E" w:rsidP="004A0A3E">
      <w:pPr>
        <w:pStyle w:val="BodyText"/>
        <w:spacing w:before="201" w:line="276" w:lineRule="auto"/>
        <w:ind w:right="128"/>
        <w:jc w:val="left"/>
      </w:pPr>
      <w:r>
        <w:rPr>
          <w:b/>
        </w:rPr>
        <w:t xml:space="preserve">Denial: </w:t>
      </w:r>
      <w:r>
        <w:t>A waiver request which fails to meet the requirements as presented shall be denied. The Governor’s designee, DWS, will communicate a waiver denial in writing to the WDB.</w:t>
      </w:r>
    </w:p>
    <w:sectPr w:rsidR="00C12298">
      <w:footerReference w:type="default" r:id="rId7"/>
      <w:type w:val="continuous"/>
      <w:pgSz w:w="12240" w:h="15840"/>
      <w:pgMar w:top="940" w:right="1080" w:bottom="1520" w:left="1080" w:header="0" w:footer="13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E3BC" w14:textId="77777777" w:rsidR="004A0A3E" w:rsidRDefault="004A0A3E">
      <w:r>
        <w:separator/>
      </w:r>
    </w:p>
  </w:endnote>
  <w:endnote w:type="continuationSeparator" w:id="0">
    <w:p w14:paraId="2F606080" w14:textId="77777777" w:rsidR="004A0A3E" w:rsidRDefault="004A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CA22" w14:textId="77777777" w:rsidR="00C12298" w:rsidRDefault="004A0A3E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0AA2682C" wp14:editId="13831782">
              <wp:simplePos x="0" y="0"/>
              <wp:positionH relativeFrom="page">
                <wp:posOffset>5130800</wp:posOffset>
              </wp:positionH>
              <wp:positionV relativeFrom="page">
                <wp:posOffset>9072314</wp:posOffset>
              </wp:positionV>
              <wp:extent cx="1855470" cy="3721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547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9A08F" w14:textId="77777777" w:rsidR="00C12298" w:rsidRDefault="004A0A3E">
                          <w:pPr>
                            <w:spacing w:before="14"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Commission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Statement: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CPS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  <w:p w14:paraId="0301489F" w14:textId="77777777" w:rsidR="00C12298" w:rsidRDefault="004A0A3E">
                          <w:pPr>
                            <w:ind w:left="2175" w:right="18" w:hanging="25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Attachment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268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4pt;margin-top:714.35pt;width:146.1pt;height:29.3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" filled="f" stroked="f">
              <v:textbox inset="0,0,0,0">
                <w:txbxContent>
                  <w:p w14:paraId="2729A08F" w14:textId="77777777" w:rsidR="00C12298" w:rsidRDefault="004A0A3E">
                    <w:pPr>
                      <w:spacing w:before="14"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Commission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Policy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Statement: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CPS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  <w:p w14:paraId="0301489F" w14:textId="77777777" w:rsidR="00C12298" w:rsidRDefault="004A0A3E">
                    <w:pPr>
                      <w:ind w:left="2175" w:right="18" w:hanging="25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Attachment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3756" w14:textId="77777777" w:rsidR="004A0A3E" w:rsidRDefault="004A0A3E">
      <w:r>
        <w:separator/>
      </w:r>
    </w:p>
  </w:footnote>
  <w:footnote w:type="continuationSeparator" w:id="0">
    <w:p w14:paraId="279B202C" w14:textId="77777777" w:rsidR="004A0A3E" w:rsidRDefault="004A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D687C"/>
    <w:multiLevelType w:val="hybridMultilevel"/>
    <w:tmpl w:val="5AF4DD46"/>
    <w:lvl w:ilvl="0" w:tplc="3FAE6F04">
      <w:start w:val="1"/>
      <w:numFmt w:val="upperRoman"/>
      <w:lvlText w:val="%1."/>
      <w:lvlJc w:val="left"/>
      <w:pPr>
        <w:ind w:left="979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7D4C2AE0">
      <w:numFmt w:val="bullet"/>
      <w:lvlText w:val="•"/>
      <w:lvlJc w:val="left"/>
      <w:pPr>
        <w:ind w:left="1890" w:hanging="500"/>
      </w:pPr>
      <w:rPr>
        <w:rFonts w:hint="default"/>
        <w:lang w:val="en-US" w:eastAsia="en-US" w:bidi="ar-SA"/>
      </w:rPr>
    </w:lvl>
    <w:lvl w:ilvl="2" w:tplc="281063CE">
      <w:numFmt w:val="bullet"/>
      <w:lvlText w:val="•"/>
      <w:lvlJc w:val="left"/>
      <w:pPr>
        <w:ind w:left="2800" w:hanging="500"/>
      </w:pPr>
      <w:rPr>
        <w:rFonts w:hint="default"/>
        <w:lang w:val="en-US" w:eastAsia="en-US" w:bidi="ar-SA"/>
      </w:rPr>
    </w:lvl>
    <w:lvl w:ilvl="3" w:tplc="47B0B3D0">
      <w:numFmt w:val="bullet"/>
      <w:lvlText w:val="•"/>
      <w:lvlJc w:val="left"/>
      <w:pPr>
        <w:ind w:left="3710" w:hanging="500"/>
      </w:pPr>
      <w:rPr>
        <w:rFonts w:hint="default"/>
        <w:lang w:val="en-US" w:eastAsia="en-US" w:bidi="ar-SA"/>
      </w:rPr>
    </w:lvl>
    <w:lvl w:ilvl="4" w:tplc="B2969664">
      <w:numFmt w:val="bullet"/>
      <w:lvlText w:val="•"/>
      <w:lvlJc w:val="left"/>
      <w:pPr>
        <w:ind w:left="4620" w:hanging="500"/>
      </w:pPr>
      <w:rPr>
        <w:rFonts w:hint="default"/>
        <w:lang w:val="en-US" w:eastAsia="en-US" w:bidi="ar-SA"/>
      </w:rPr>
    </w:lvl>
    <w:lvl w:ilvl="5" w:tplc="123E15B2">
      <w:numFmt w:val="bullet"/>
      <w:lvlText w:val="•"/>
      <w:lvlJc w:val="left"/>
      <w:pPr>
        <w:ind w:left="5530" w:hanging="500"/>
      </w:pPr>
      <w:rPr>
        <w:rFonts w:hint="default"/>
        <w:lang w:val="en-US" w:eastAsia="en-US" w:bidi="ar-SA"/>
      </w:rPr>
    </w:lvl>
    <w:lvl w:ilvl="6" w:tplc="D29415C8">
      <w:numFmt w:val="bullet"/>
      <w:lvlText w:val="•"/>
      <w:lvlJc w:val="left"/>
      <w:pPr>
        <w:ind w:left="6440" w:hanging="500"/>
      </w:pPr>
      <w:rPr>
        <w:rFonts w:hint="default"/>
        <w:lang w:val="en-US" w:eastAsia="en-US" w:bidi="ar-SA"/>
      </w:rPr>
    </w:lvl>
    <w:lvl w:ilvl="7" w:tplc="E77E7EC8">
      <w:numFmt w:val="bullet"/>
      <w:lvlText w:val="•"/>
      <w:lvlJc w:val="left"/>
      <w:pPr>
        <w:ind w:left="7350" w:hanging="500"/>
      </w:pPr>
      <w:rPr>
        <w:rFonts w:hint="default"/>
        <w:lang w:val="en-US" w:eastAsia="en-US" w:bidi="ar-SA"/>
      </w:rPr>
    </w:lvl>
    <w:lvl w:ilvl="8" w:tplc="380452DA">
      <w:numFmt w:val="bullet"/>
      <w:lvlText w:val="•"/>
      <w:lvlJc w:val="left"/>
      <w:pPr>
        <w:ind w:left="8260" w:hanging="500"/>
      </w:pPr>
      <w:rPr>
        <w:rFonts w:hint="default"/>
        <w:lang w:val="en-US" w:eastAsia="en-US" w:bidi="ar-SA"/>
      </w:rPr>
    </w:lvl>
  </w:abstractNum>
  <w:num w:numId="1" w16cid:durableId="14975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298"/>
    <w:rsid w:val="004A0A3E"/>
    <w:rsid w:val="007B0E63"/>
    <w:rsid w:val="00C1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CF7C"/>
  <w15:docId w15:val="{5101115E-741E-4473-A887-559559E1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3"/>
      <w:ind w:left="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01"/>
      <w:ind w:left="80" w:right="3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9" w:right="177" w:hanging="6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German, Berlina Y</dc:creator>
  <dc:description/>
  <cp:lastModifiedBy>Cassar, Salvatore</cp:lastModifiedBy>
  <cp:revision>2</cp:revision>
  <dcterms:created xsi:type="dcterms:W3CDTF">2026-04-16T18:02:00Z</dcterms:created>
  <dcterms:modified xsi:type="dcterms:W3CDTF">2026-04-16T18:04:00Z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0x01010090965975FD695A48AF39D3B26D0F58E1</vt:lpwstr>
  </property>
  <property fmtid="{D5CDD505-2E9C-101B-9397-08002B2CF9AE}" pid="3" name="Created">
    <vt:filetime>2026-02-19T00:00:00Z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bcf80b324ff3f62e37eafbe854e394b2e9f0e161a88e63555d2ea926d494d893</vt:lpwstr>
  </property>
  <property fmtid="{D5CDD505-2E9C-101B-9397-08002B2CF9AE}" pid="6" name="LastSaved">
    <vt:filetime>2026-04-16T00:00:00Z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D:20260210141250</vt:lpwstr>
  </property>
  <property fmtid="{D5CDD505-2E9C-101B-9397-08002B2CF9AE}" pid="10" name="docLang">
    <vt:lpwstr>en</vt:lpwstr>
  </property>
</Properties>
</file>