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5A7C0" w14:textId="28DC71AE" w:rsidR="007726AA" w:rsidRDefault="007726AA" w:rsidP="006662FB">
      <w:pPr>
        <w:pStyle w:val="Title"/>
        <w:rPr>
          <w:rFonts w:ascii="Times New Roman" w:hAnsi="Times New Roman" w:cs="Times New Roman"/>
          <w:sz w:val="36"/>
          <w:szCs w:val="36"/>
        </w:rPr>
      </w:pPr>
      <w:r w:rsidRPr="001F3B73">
        <w:rPr>
          <w:rFonts w:ascii="Times New Roman" w:hAnsi="Times New Roman" w:cs="Times New Roman"/>
          <w:noProof/>
          <w:sz w:val="24"/>
          <w:szCs w:val="24"/>
        </w:rPr>
        <w:drawing>
          <wp:anchor distT="0" distB="0" distL="114300" distR="114300" simplePos="0" relativeHeight="251659264" behindDoc="0" locked="0" layoutInCell="1" allowOverlap="1" wp14:anchorId="2C01FBC6" wp14:editId="2685C6AD">
            <wp:simplePos x="0" y="0"/>
            <wp:positionH relativeFrom="column">
              <wp:posOffset>0</wp:posOffset>
            </wp:positionH>
            <wp:positionV relativeFrom="line">
              <wp:posOffset>-635</wp:posOffset>
            </wp:positionV>
            <wp:extent cx="932688" cy="914400"/>
            <wp:effectExtent l="0" t="0" r="127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2688"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0FFF9" w14:textId="49D8D8DA" w:rsidR="007F7DA6" w:rsidRPr="003D62B7" w:rsidRDefault="007726AA" w:rsidP="007726AA">
      <w:pPr>
        <w:pStyle w:val="Title"/>
        <w:tabs>
          <w:tab w:val="left" w:pos="1935"/>
        </w:tabs>
        <w:rPr>
          <w:rFonts w:ascii="Times New Roman" w:hAnsi="Times New Roman" w:cs="Times New Roman"/>
          <w:b/>
          <w:bCs/>
          <w:sz w:val="28"/>
          <w:szCs w:val="28"/>
        </w:rPr>
      </w:pPr>
      <w:r>
        <w:rPr>
          <w:rFonts w:ascii="Times New Roman" w:hAnsi="Times New Roman" w:cs="Times New Roman"/>
          <w:sz w:val="36"/>
          <w:szCs w:val="36"/>
        </w:rPr>
        <w:tab/>
      </w:r>
      <w:r w:rsidR="006662FB" w:rsidRPr="003D62B7">
        <w:rPr>
          <w:rFonts w:ascii="Times New Roman" w:hAnsi="Times New Roman" w:cs="Times New Roman"/>
          <w:b/>
          <w:bCs/>
          <w:sz w:val="28"/>
          <w:szCs w:val="28"/>
        </w:rPr>
        <w:t xml:space="preserve">NCWorks Commission Policy Statement Number: CPS </w:t>
      </w:r>
      <w:r w:rsidR="0051152A">
        <w:rPr>
          <w:rFonts w:ascii="Times New Roman" w:hAnsi="Times New Roman" w:cs="Times New Roman"/>
          <w:b/>
          <w:bCs/>
          <w:sz w:val="28"/>
          <w:szCs w:val="28"/>
        </w:rPr>
        <w:t xml:space="preserve">11-2021, </w:t>
      </w:r>
      <w:r w:rsidR="0051152A">
        <w:rPr>
          <w:rFonts w:ascii="Times New Roman" w:hAnsi="Times New Roman" w:cs="Times New Roman"/>
          <w:b/>
          <w:bCs/>
          <w:sz w:val="28"/>
          <w:szCs w:val="28"/>
        </w:rPr>
        <w:tab/>
      </w:r>
      <w:r w:rsidR="0051152A">
        <w:rPr>
          <w:rFonts w:ascii="Times New Roman" w:hAnsi="Times New Roman" w:cs="Times New Roman"/>
          <w:b/>
          <w:bCs/>
          <w:sz w:val="28"/>
          <w:szCs w:val="28"/>
        </w:rPr>
        <w:tab/>
        <w:t>Change 2</w:t>
      </w:r>
    </w:p>
    <w:p w14:paraId="49BCD8F1" w14:textId="77777777" w:rsidR="007726AA" w:rsidRDefault="007726AA" w:rsidP="006662FB">
      <w:pPr>
        <w:rPr>
          <w:rFonts w:ascii="Times New Roman" w:hAnsi="Times New Roman" w:cs="Times New Roman"/>
          <w:b/>
          <w:bCs/>
        </w:rPr>
      </w:pPr>
    </w:p>
    <w:p w14:paraId="41FBEDB1" w14:textId="77777777" w:rsidR="007726AA" w:rsidRDefault="007726AA" w:rsidP="006662FB">
      <w:pPr>
        <w:rPr>
          <w:rFonts w:ascii="Times New Roman" w:hAnsi="Times New Roman" w:cs="Times New Roman"/>
          <w:b/>
          <w:bCs/>
        </w:rPr>
      </w:pPr>
    </w:p>
    <w:p w14:paraId="5733E6D4" w14:textId="6DEDA9D6" w:rsidR="006662FB" w:rsidRPr="001B40E6" w:rsidRDefault="006662FB" w:rsidP="006662FB">
      <w:pPr>
        <w:rPr>
          <w:rFonts w:ascii="Times New Roman" w:hAnsi="Times New Roman" w:cs="Times New Roman"/>
        </w:rPr>
      </w:pPr>
      <w:r w:rsidRPr="001B40E6">
        <w:rPr>
          <w:rFonts w:ascii="Times New Roman" w:hAnsi="Times New Roman" w:cs="Times New Roman"/>
          <w:b/>
          <w:bCs/>
        </w:rPr>
        <w:t>Date</w:t>
      </w:r>
      <w:r w:rsidRPr="001B40E6">
        <w:rPr>
          <w:rFonts w:ascii="Times New Roman" w:hAnsi="Times New Roman" w:cs="Times New Roman"/>
        </w:rPr>
        <w:t xml:space="preserve">: </w:t>
      </w:r>
      <w:r w:rsidR="0051152A" w:rsidRPr="0051152A">
        <w:rPr>
          <w:rFonts w:ascii="Times New Roman" w:hAnsi="Times New Roman" w:cs="Times New Roman"/>
        </w:rPr>
        <w:t>November 19, 2025</w:t>
      </w:r>
    </w:p>
    <w:p w14:paraId="7D2B26EF" w14:textId="66644F39" w:rsidR="006662FB" w:rsidRPr="001B40E6" w:rsidRDefault="006662FB" w:rsidP="0051152A">
      <w:pPr>
        <w:ind w:left="900" w:hanging="900"/>
        <w:rPr>
          <w:rFonts w:ascii="Times New Roman" w:hAnsi="Times New Roman" w:cs="Times New Roman"/>
        </w:rPr>
      </w:pPr>
      <w:r w:rsidRPr="001B40E6">
        <w:rPr>
          <w:rFonts w:ascii="Times New Roman" w:hAnsi="Times New Roman" w:cs="Times New Roman"/>
          <w:b/>
          <w:bCs/>
        </w:rPr>
        <w:t>Subject</w:t>
      </w:r>
      <w:r w:rsidRPr="001B40E6">
        <w:rPr>
          <w:rFonts w:ascii="Times New Roman" w:hAnsi="Times New Roman" w:cs="Times New Roman"/>
        </w:rPr>
        <w:t xml:space="preserve">: </w:t>
      </w:r>
      <w:r w:rsidR="0051152A" w:rsidRPr="0051152A">
        <w:rPr>
          <w:rFonts w:ascii="Times New Roman" w:hAnsi="Times New Roman" w:cs="Times New Roman"/>
        </w:rPr>
        <w:t>Eligible Training Provider Guidelines, Penalties, Appeal Process and Performance Reporting</w:t>
      </w:r>
    </w:p>
    <w:p w14:paraId="2523643D" w14:textId="28ADA294" w:rsidR="006662FB" w:rsidRPr="001B40E6" w:rsidRDefault="006662FB" w:rsidP="006662FB">
      <w:pPr>
        <w:rPr>
          <w:rFonts w:ascii="Times New Roman" w:hAnsi="Times New Roman" w:cs="Times New Roman"/>
        </w:rPr>
      </w:pPr>
      <w:r w:rsidRPr="001B40E6">
        <w:rPr>
          <w:rFonts w:ascii="Times New Roman" w:hAnsi="Times New Roman" w:cs="Times New Roman"/>
          <w:b/>
          <w:bCs/>
        </w:rPr>
        <w:t>From</w:t>
      </w:r>
      <w:r w:rsidRPr="001B40E6">
        <w:rPr>
          <w:rFonts w:ascii="Times New Roman" w:hAnsi="Times New Roman" w:cs="Times New Roman"/>
        </w:rPr>
        <w:t>: Tom B. Rabon, Jr., Chair, NCWorks Commission</w:t>
      </w:r>
    </w:p>
    <w:p w14:paraId="62D3FA90"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Purpose:</w:t>
      </w:r>
      <w:r w:rsidRPr="00CB276C">
        <w:rPr>
          <w:rFonts w:ascii="Times New Roman" w:hAnsi="Times New Roman" w:cs="Times New Roman"/>
          <w:b/>
          <w:bCs/>
          <w:color w:val="000000" w:themeColor="text1"/>
          <w:sz w:val="24"/>
          <w:szCs w:val="24"/>
        </w:rPr>
        <w:tab/>
      </w:r>
    </w:p>
    <w:p w14:paraId="5160890E" w14:textId="77777777" w:rsidR="0051152A" w:rsidRPr="0051152A" w:rsidRDefault="0051152A" w:rsidP="0051152A">
      <w:pPr>
        <w:rPr>
          <w:rFonts w:ascii="Times New Roman" w:hAnsi="Times New Roman" w:cs="Times New Roman"/>
          <w:color w:val="000000" w:themeColor="text1"/>
        </w:rPr>
      </w:pPr>
      <w:r w:rsidRPr="0051152A">
        <w:rPr>
          <w:rFonts w:ascii="Times New Roman" w:hAnsi="Times New Roman" w:cs="Times New Roman"/>
          <w:color w:val="000000" w:themeColor="text1"/>
        </w:rPr>
        <w:t>To provide eligibility criteria, biennial certification procedures, penalties, and appeals processes for implementing Eligible Training Provider (ETP) requirements in accordance with the Workforce Innovation and Opportunity Act (WIOA) of 2014. These guidelines are applicable to providers of occupational skills training services for adults, dislocated workers, youth, and other populations as defined by WIOA Title 1-B. Additionally, to encourage greater alignment with the NC Workforce Credentials list where and when possible.</w:t>
      </w:r>
    </w:p>
    <w:p w14:paraId="7F76BDEA" w14:textId="77777777" w:rsidR="0051152A" w:rsidRPr="0051152A" w:rsidRDefault="0051152A" w:rsidP="0051152A">
      <w:pPr>
        <w:rPr>
          <w:rFonts w:ascii="Times New Roman" w:hAnsi="Times New Roman" w:cs="Times New Roman"/>
          <w:color w:val="000000" w:themeColor="text1"/>
        </w:rPr>
      </w:pPr>
      <w:r w:rsidRPr="0051152A">
        <w:rPr>
          <w:rFonts w:ascii="Times New Roman" w:hAnsi="Times New Roman" w:cs="Times New Roman"/>
          <w:color w:val="000000" w:themeColor="text1"/>
        </w:rPr>
        <w:t>This Change includes the following updates:</w:t>
      </w:r>
    </w:p>
    <w:p w14:paraId="0960C66D" w14:textId="2C5F0E5C"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xml:space="preserve">• the addition of language to Part I – Roles and Responsibilities of the State and Local </w:t>
      </w:r>
      <w:r w:rsidR="00017823">
        <w:rPr>
          <w:rFonts w:ascii="Times New Roman" w:hAnsi="Times New Roman" w:cs="Times New Roman"/>
          <w:color w:val="000000" w:themeColor="text1"/>
        </w:rPr>
        <w:t xml:space="preserve"> </w:t>
      </w:r>
      <w:r w:rsidRPr="0051152A">
        <w:rPr>
          <w:rFonts w:ascii="Times New Roman" w:hAnsi="Times New Roman" w:cs="Times New Roman"/>
          <w:color w:val="000000" w:themeColor="text1"/>
        </w:rPr>
        <w:t xml:space="preserve">Area Workforce Development Boards (WDBs), section B, Roles of the Local Area WDBs, stating all Registered Apprenticeships listed on the Eligible Training Provider List (ETPL) are to be certified by all </w:t>
      </w:r>
      <w:proofErr w:type="gramStart"/>
      <w:r w:rsidRPr="0051152A">
        <w:rPr>
          <w:rFonts w:ascii="Times New Roman" w:hAnsi="Times New Roman" w:cs="Times New Roman"/>
          <w:color w:val="000000" w:themeColor="text1"/>
        </w:rPr>
        <w:t>WDBs;</w:t>
      </w:r>
      <w:proofErr w:type="gramEnd"/>
    </w:p>
    <w:p w14:paraId="60A9065B" w14:textId="39D983FF"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xml:space="preserve">• the addition of language to Part II – Eligible Training Provider Determination Process, </w:t>
      </w:r>
      <w:r w:rsidR="00017823">
        <w:rPr>
          <w:rFonts w:ascii="Times New Roman" w:hAnsi="Times New Roman" w:cs="Times New Roman"/>
          <w:color w:val="000000" w:themeColor="text1"/>
        </w:rPr>
        <w:t xml:space="preserve"> </w:t>
      </w:r>
      <w:r w:rsidRPr="0051152A">
        <w:rPr>
          <w:rFonts w:ascii="Times New Roman" w:hAnsi="Times New Roman" w:cs="Times New Roman"/>
          <w:color w:val="000000" w:themeColor="text1"/>
        </w:rPr>
        <w:t xml:space="preserve">section A, 2, Business Requirements, stating all Providers must collect and report Social Security Numbers (SSNs) annually for all participants engaged in their training programs to remain eligible beginning with participants served on or after July 1, </w:t>
      </w:r>
      <w:proofErr w:type="gramStart"/>
      <w:r w:rsidRPr="0051152A">
        <w:rPr>
          <w:rFonts w:ascii="Times New Roman" w:hAnsi="Times New Roman" w:cs="Times New Roman"/>
          <w:color w:val="000000" w:themeColor="text1"/>
        </w:rPr>
        <w:t>2026;</w:t>
      </w:r>
      <w:proofErr w:type="gramEnd"/>
    </w:p>
    <w:p w14:paraId="4F65CB31" w14:textId="77777777"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xml:space="preserve">• the addition of language to Part II – Eligible Training Provider Determination Process, sections 3a, Necessary Documentation for Eligibility Determination and D, Registered Apprenticeships &amp; Industry Recognized Apprenticeship Programs, for Registered Apprenticeships to clarify the documentation requirements needed for listing on the </w:t>
      </w:r>
      <w:proofErr w:type="gramStart"/>
      <w:r w:rsidRPr="0051152A">
        <w:rPr>
          <w:rFonts w:ascii="Times New Roman" w:hAnsi="Times New Roman" w:cs="Times New Roman"/>
          <w:color w:val="000000" w:themeColor="text1"/>
        </w:rPr>
        <w:t>ETPL;</w:t>
      </w:r>
      <w:proofErr w:type="gramEnd"/>
    </w:p>
    <w:p w14:paraId="63F9D055" w14:textId="7784DA5F"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Part VI – Notice of Ineligibility, Suspension, Termination of Eligible Training Providers, and Complaints from Participants against Training Providers, section B, Initial Eligibility Registration Status,</w:t>
      </w:r>
      <w:r>
        <w:rPr>
          <w:rFonts w:ascii="Times New Roman" w:hAnsi="Times New Roman" w:cs="Times New Roman"/>
          <w:color w:val="000000" w:themeColor="text1"/>
        </w:rPr>
        <w:t xml:space="preserve"> </w:t>
      </w:r>
      <w:r w:rsidRPr="0051152A">
        <w:rPr>
          <w:rFonts w:ascii="Times New Roman" w:hAnsi="Times New Roman" w:cs="Times New Roman"/>
          <w:color w:val="000000" w:themeColor="text1"/>
        </w:rPr>
        <w:t>is renamed to explain the communication procedures for initial provider registrations; and</w:t>
      </w:r>
    </w:p>
    <w:p w14:paraId="01BA497D" w14:textId="77777777"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lastRenderedPageBreak/>
        <w:t>• Part VI – Notice of Ineligibility, Suspension, Termination of Eligible Training Providers, and Complaints from Participants against Training Providers, section D, Program Rejection Notification Status, has been created to explain the communication procedures for Programs that may be potentially added to the ETPL.</w:t>
      </w:r>
    </w:p>
    <w:p w14:paraId="62A1F682" w14:textId="77777777"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The renaming of Part II Section D to Registered Apprenticeships (RA) and the removal of all language in this section involving Industry Recognized Apprenticeship Programs (IRAPs), due to US Department of Labor rescinding the guidance as of November 2022.</w:t>
      </w:r>
    </w:p>
    <w:p w14:paraId="7A7AB89C" w14:textId="77777777" w:rsidR="0051152A" w:rsidRPr="0051152A" w:rsidRDefault="0051152A" w:rsidP="00017823">
      <w:pPr>
        <w:ind w:left="810" w:hanging="90"/>
        <w:rPr>
          <w:rFonts w:ascii="Times New Roman" w:hAnsi="Times New Roman" w:cs="Times New Roman"/>
          <w:color w:val="000000" w:themeColor="text1"/>
        </w:rPr>
      </w:pPr>
      <w:r w:rsidRPr="0051152A">
        <w:rPr>
          <w:rFonts w:ascii="Times New Roman" w:hAnsi="Times New Roman" w:cs="Times New Roman"/>
          <w:color w:val="000000" w:themeColor="text1"/>
        </w:rPr>
        <w:t>• The renaming of Part IV section B to Continuing Eligibility Review for Registered Apprenticeship (RA) and the removal of all language in this section regarding Industry Recognized Apprenticeship Programs (IRAPs).</w:t>
      </w:r>
    </w:p>
    <w:p w14:paraId="1CB804F5" w14:textId="51093248" w:rsidR="006662FB" w:rsidRPr="00CB276C" w:rsidRDefault="0051152A" w:rsidP="0051152A">
      <w:pPr>
        <w:rPr>
          <w:rFonts w:ascii="Times New Roman" w:hAnsi="Times New Roman" w:cs="Times New Roman"/>
          <w:color w:val="000000" w:themeColor="text1"/>
        </w:rPr>
      </w:pPr>
      <w:r w:rsidRPr="0051152A">
        <w:rPr>
          <w:rFonts w:ascii="Times New Roman" w:hAnsi="Times New Roman" w:cs="Times New Roman"/>
          <w:color w:val="000000" w:themeColor="text1"/>
        </w:rPr>
        <w:t>This Commission Policy Statement rescinds CPS 11-2021, Change 1. The procedures herein supersede all previous policy, procedures, and guidelines regarding Eligible Training Providers.</w:t>
      </w:r>
    </w:p>
    <w:p w14:paraId="3E17FB4A" w14:textId="4F1F259B"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Background:</w:t>
      </w:r>
      <w:r w:rsidRPr="00CB276C">
        <w:rPr>
          <w:rFonts w:ascii="Times New Roman" w:hAnsi="Times New Roman" w:cs="Times New Roman"/>
          <w:b/>
          <w:bCs/>
          <w:color w:val="000000" w:themeColor="text1"/>
          <w:sz w:val="24"/>
          <w:szCs w:val="24"/>
        </w:rPr>
        <w:tab/>
      </w:r>
    </w:p>
    <w:p w14:paraId="5CADDB86" w14:textId="77777777" w:rsidR="00017823" w:rsidRDefault="00017823" w:rsidP="00017823">
      <w:pPr>
        <w:pStyle w:val="Default"/>
        <w:jc w:val="both"/>
        <w:rPr>
          <w:color w:val="auto"/>
        </w:rPr>
      </w:pPr>
    </w:p>
    <w:p w14:paraId="0F97178E" w14:textId="5DD78645" w:rsidR="007726AA" w:rsidRPr="00017823" w:rsidRDefault="00017823" w:rsidP="00397D4B">
      <w:pPr>
        <w:spacing w:line="276" w:lineRule="auto"/>
        <w:rPr>
          <w:rFonts w:ascii="Times New Roman" w:hAnsi="Times New Roman" w:cs="Times New Roman"/>
          <w:color w:val="000000" w:themeColor="text1"/>
          <w:sz w:val="28"/>
          <w:szCs w:val="28"/>
        </w:rPr>
      </w:pPr>
      <w:r w:rsidRPr="00017823">
        <w:rPr>
          <w:rFonts w:ascii="Times New Roman" w:hAnsi="Times New Roman" w:cs="Times New Roman"/>
        </w:rPr>
        <w:t xml:space="preserve">WIOA seeks to promote an environment that fosters customer choice in education and training through data transparency in performance accountability. Such an environment will enhance the quality of customers’ choices in the attainment of skills, credentials, certificates, and diplomas that will lead to employment in occupations that are in demand in the local economy. WIOA sets forth the requirements and general processes by which training providers and programs can be included on the State Eligible Training Provider List (ETPL) by validating that all listed providers and their programs meet minimum State standards. </w:t>
      </w:r>
    </w:p>
    <w:p w14:paraId="756AA84A" w14:textId="77777777" w:rsidR="007726AA"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 xml:space="preserve">Action: </w:t>
      </w:r>
    </w:p>
    <w:p w14:paraId="4BDB6B39" w14:textId="77777777" w:rsidR="00397D4B" w:rsidRPr="00397D4B" w:rsidRDefault="00397D4B" w:rsidP="00397D4B">
      <w:pPr>
        <w:pStyle w:val="Default"/>
        <w:spacing w:line="276" w:lineRule="auto"/>
      </w:pPr>
      <w:r w:rsidRPr="00397D4B">
        <w:t xml:space="preserve">Effective immediately, Local Area Workforce Development Boards (WDBs) should utilize the attached guidelines in the review and approval of training providers and their programs of study. In addition, all WDBs shall create or update existing policy to ensure compliance with this policy. </w:t>
      </w:r>
    </w:p>
    <w:p w14:paraId="7EB83D91" w14:textId="014E0885" w:rsidR="006662FB" w:rsidRPr="003D62B7" w:rsidRDefault="006662FB" w:rsidP="003C0E54">
      <w:pPr>
        <w:pStyle w:val="Heading1"/>
        <w:tabs>
          <w:tab w:val="left" w:pos="720"/>
          <w:tab w:val="left" w:pos="1440"/>
          <w:tab w:val="left" w:pos="2160"/>
          <w:tab w:val="left" w:pos="5220"/>
        </w:tabs>
        <w:rPr>
          <w:rFonts w:ascii="Times New Roman" w:hAnsi="Times New Roman" w:cs="Times New Roman"/>
          <w:b/>
          <w:bCs/>
          <w:color w:val="000000" w:themeColor="text1"/>
          <w:sz w:val="28"/>
          <w:szCs w:val="28"/>
        </w:rPr>
      </w:pPr>
      <w:r w:rsidRPr="00CB276C">
        <w:rPr>
          <w:rFonts w:ascii="Times New Roman" w:hAnsi="Times New Roman" w:cs="Times New Roman"/>
          <w:b/>
          <w:bCs/>
          <w:color w:val="000000" w:themeColor="text1"/>
          <w:sz w:val="24"/>
          <w:szCs w:val="24"/>
        </w:rPr>
        <w:t>Effective Date:</w:t>
      </w:r>
      <w:r w:rsidRPr="00CB276C">
        <w:rPr>
          <w:rFonts w:ascii="Times New Roman" w:hAnsi="Times New Roman" w:cs="Times New Roman"/>
          <w:b/>
          <w:bCs/>
          <w:color w:val="000000" w:themeColor="text1"/>
          <w:sz w:val="24"/>
          <w:szCs w:val="24"/>
        </w:rPr>
        <w:tab/>
      </w:r>
      <w:r w:rsidR="003C0E54">
        <w:rPr>
          <w:rFonts w:ascii="Times New Roman" w:hAnsi="Times New Roman" w:cs="Times New Roman"/>
          <w:b/>
          <w:bCs/>
          <w:color w:val="000000" w:themeColor="text1"/>
          <w:sz w:val="28"/>
          <w:szCs w:val="28"/>
        </w:rPr>
        <w:tab/>
      </w:r>
    </w:p>
    <w:p w14:paraId="202B9735" w14:textId="7EC24AB0"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Immediately</w:t>
      </w:r>
    </w:p>
    <w:p w14:paraId="22433A90" w14:textId="30CC9412" w:rsidR="006662FB" w:rsidRPr="00CB276C" w:rsidRDefault="006662FB" w:rsidP="00CB276C">
      <w:pPr>
        <w:pStyle w:val="Heading1"/>
        <w:tabs>
          <w:tab w:val="left" w:pos="720"/>
          <w:tab w:val="left" w:pos="1440"/>
          <w:tab w:val="left" w:pos="3585"/>
        </w:tabs>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Expiration:</w:t>
      </w:r>
      <w:r w:rsidRPr="00CB276C">
        <w:rPr>
          <w:rFonts w:ascii="Times New Roman" w:hAnsi="Times New Roman" w:cs="Times New Roman"/>
          <w:b/>
          <w:bCs/>
          <w:color w:val="000000" w:themeColor="text1"/>
          <w:sz w:val="24"/>
          <w:szCs w:val="24"/>
        </w:rPr>
        <w:tab/>
      </w:r>
      <w:r w:rsidR="00CB276C">
        <w:rPr>
          <w:rFonts w:ascii="Times New Roman" w:hAnsi="Times New Roman" w:cs="Times New Roman"/>
          <w:b/>
          <w:bCs/>
          <w:color w:val="000000" w:themeColor="text1"/>
          <w:sz w:val="24"/>
          <w:szCs w:val="24"/>
        </w:rPr>
        <w:tab/>
      </w:r>
    </w:p>
    <w:p w14:paraId="43549695" w14:textId="57F30CE9" w:rsidR="006662FB" w:rsidRPr="00661047" w:rsidRDefault="006662FB" w:rsidP="006662FB">
      <w:pPr>
        <w:rPr>
          <w:rFonts w:ascii="Times New Roman" w:hAnsi="Times New Roman" w:cs="Times New Roman"/>
          <w:color w:val="000000" w:themeColor="text1"/>
        </w:rPr>
      </w:pPr>
      <w:r w:rsidRPr="00661047">
        <w:rPr>
          <w:rFonts w:ascii="Times New Roman" w:hAnsi="Times New Roman" w:cs="Times New Roman"/>
          <w:color w:val="000000" w:themeColor="text1"/>
        </w:rPr>
        <w:t>Indefinite</w:t>
      </w:r>
    </w:p>
    <w:p w14:paraId="548526CA" w14:textId="7E543116"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t>Contact:</w:t>
      </w:r>
      <w:r w:rsidRPr="00CB276C">
        <w:rPr>
          <w:rFonts w:ascii="Times New Roman" w:hAnsi="Times New Roman" w:cs="Times New Roman"/>
          <w:b/>
          <w:bCs/>
          <w:color w:val="000000" w:themeColor="text1"/>
          <w:sz w:val="24"/>
          <w:szCs w:val="24"/>
        </w:rPr>
        <w:tab/>
      </w:r>
    </w:p>
    <w:p w14:paraId="212706A7" w14:textId="713709A2" w:rsidR="00397D4B" w:rsidRDefault="00D90DFB" w:rsidP="00397D4B">
      <w:pPr>
        <w:pStyle w:val="Default"/>
        <w:rPr>
          <w:sz w:val="23"/>
          <w:szCs w:val="23"/>
        </w:rPr>
      </w:pPr>
      <w:r w:rsidRPr="00661047">
        <w:rPr>
          <w:color w:val="000000" w:themeColor="text1"/>
        </w:rPr>
        <w:t>DWS</w:t>
      </w:r>
      <w:r w:rsidR="00661047">
        <w:rPr>
          <w:color w:val="000000" w:themeColor="text1"/>
        </w:rPr>
        <w:t xml:space="preserve"> </w:t>
      </w:r>
      <w:r w:rsidR="00397D4B" w:rsidRPr="00397D4B">
        <w:t xml:space="preserve">Director of Performance or ETP Program Coordinator </w:t>
      </w:r>
    </w:p>
    <w:p w14:paraId="3AAF3383" w14:textId="77777777" w:rsidR="006662FB" w:rsidRPr="00CB276C" w:rsidRDefault="006662FB" w:rsidP="006662FB">
      <w:pPr>
        <w:pStyle w:val="Heading1"/>
        <w:rPr>
          <w:rFonts w:ascii="Times New Roman" w:hAnsi="Times New Roman" w:cs="Times New Roman"/>
          <w:b/>
          <w:bCs/>
          <w:color w:val="000000" w:themeColor="text1"/>
          <w:sz w:val="24"/>
          <w:szCs w:val="24"/>
        </w:rPr>
      </w:pPr>
      <w:r w:rsidRPr="00CB276C">
        <w:rPr>
          <w:rFonts w:ascii="Times New Roman" w:hAnsi="Times New Roman" w:cs="Times New Roman"/>
          <w:b/>
          <w:bCs/>
          <w:color w:val="000000" w:themeColor="text1"/>
          <w:sz w:val="24"/>
          <w:szCs w:val="24"/>
        </w:rPr>
        <w:lastRenderedPageBreak/>
        <w:t>Attachment:</w:t>
      </w:r>
      <w:r w:rsidRPr="00CB276C">
        <w:rPr>
          <w:rFonts w:ascii="Times New Roman" w:hAnsi="Times New Roman" w:cs="Times New Roman"/>
          <w:b/>
          <w:bCs/>
          <w:color w:val="000000" w:themeColor="text1"/>
          <w:sz w:val="24"/>
          <w:szCs w:val="24"/>
        </w:rPr>
        <w:tab/>
      </w:r>
    </w:p>
    <w:p w14:paraId="72A63A75" w14:textId="225FEA39" w:rsidR="006662FB" w:rsidRPr="001B40E6" w:rsidRDefault="00397D4B" w:rsidP="006662FB">
      <w:pPr>
        <w:rPr>
          <w:rFonts w:ascii="Times New Roman" w:hAnsi="Times New Roman" w:cs="Times New Roman"/>
        </w:rPr>
      </w:pPr>
      <w:r w:rsidRPr="00397D4B">
        <w:rPr>
          <w:rFonts w:ascii="Times New Roman" w:hAnsi="Times New Roman" w:cs="Times New Roman"/>
        </w:rPr>
        <w:t>Eligible Training Provider Guidelines</w:t>
      </w:r>
    </w:p>
    <w:p w14:paraId="25942E7D" w14:textId="5A356AFC" w:rsidR="006662FB" w:rsidRPr="001B40E6" w:rsidRDefault="006662FB" w:rsidP="006662FB">
      <w:pPr>
        <w:rPr>
          <w:rFonts w:ascii="Times New Roman" w:hAnsi="Times New Roman" w:cs="Times New Roman"/>
        </w:rPr>
      </w:pPr>
    </w:p>
    <w:p w14:paraId="58C5595A" w14:textId="77777777" w:rsidR="006662FB" w:rsidRPr="001B40E6" w:rsidRDefault="006662FB">
      <w:pPr>
        <w:rPr>
          <w:rFonts w:ascii="Times New Roman" w:hAnsi="Times New Roman" w:cs="Times New Roman"/>
        </w:rPr>
      </w:pPr>
    </w:p>
    <w:sectPr w:rsidR="006662FB" w:rsidRPr="001B40E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3EEF3" w14:textId="77777777" w:rsidR="00DD4AA0" w:rsidRDefault="00DD4AA0" w:rsidP="006662FB">
      <w:pPr>
        <w:spacing w:after="0" w:line="240" w:lineRule="auto"/>
      </w:pPr>
      <w:r>
        <w:separator/>
      </w:r>
    </w:p>
  </w:endnote>
  <w:endnote w:type="continuationSeparator" w:id="0">
    <w:p w14:paraId="63459AF4" w14:textId="77777777" w:rsidR="00DD4AA0" w:rsidRDefault="00DD4AA0" w:rsidP="006662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44E70" w14:textId="77777777" w:rsidR="003C0E54" w:rsidRDefault="003C0E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D507" w14:textId="1B1EB194"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An Equal Opportunity Employer/Program.</w:t>
    </w:r>
  </w:p>
  <w:p w14:paraId="19828A3B" w14:textId="4675F281" w:rsidR="006662FB" w:rsidRPr="001B40E6" w:rsidRDefault="006662FB" w:rsidP="006662FB">
    <w:pPr>
      <w:pStyle w:val="Footer"/>
      <w:jc w:val="center"/>
      <w:rPr>
        <w:rFonts w:ascii="Times New Roman" w:hAnsi="Times New Roman" w:cs="Times New Roman"/>
        <w:sz w:val="16"/>
        <w:szCs w:val="16"/>
      </w:rPr>
    </w:pPr>
    <w:r w:rsidRPr="001B40E6">
      <w:rPr>
        <w:rFonts w:ascii="Times New Roman" w:hAnsi="Times New Roman" w:cs="Times New Roman"/>
        <w:sz w:val="16"/>
        <w:szCs w:val="16"/>
      </w:rPr>
      <w:t>Auxiliary aids and services available upon request to individuals with disabilities.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3F977" w14:textId="77777777" w:rsidR="003C0E54" w:rsidRDefault="003C0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2CBF3" w14:textId="77777777" w:rsidR="00DD4AA0" w:rsidRDefault="00DD4AA0" w:rsidP="006662FB">
      <w:pPr>
        <w:spacing w:after="0" w:line="240" w:lineRule="auto"/>
      </w:pPr>
      <w:r>
        <w:separator/>
      </w:r>
    </w:p>
  </w:footnote>
  <w:footnote w:type="continuationSeparator" w:id="0">
    <w:p w14:paraId="13C69833" w14:textId="77777777" w:rsidR="00DD4AA0" w:rsidRDefault="00DD4AA0" w:rsidP="006662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A6C93" w14:textId="5551EEEB" w:rsidR="00D02678" w:rsidRDefault="00D02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7F1F" w14:textId="434792C0" w:rsidR="00D02678" w:rsidRDefault="00D026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2857" w14:textId="09F9F5A8" w:rsidR="00D02678" w:rsidRDefault="00D026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583"/>
    <w:multiLevelType w:val="hybridMultilevel"/>
    <w:tmpl w:val="EDD6D78A"/>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03365"/>
    <w:multiLevelType w:val="hybridMultilevel"/>
    <w:tmpl w:val="EDC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9235B0"/>
    <w:multiLevelType w:val="hybridMultilevel"/>
    <w:tmpl w:val="AD8A3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870B66"/>
    <w:multiLevelType w:val="hybridMultilevel"/>
    <w:tmpl w:val="B0ECC0B4"/>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D8692A"/>
    <w:multiLevelType w:val="hybridMultilevel"/>
    <w:tmpl w:val="45007CCC"/>
    <w:lvl w:ilvl="0" w:tplc="2BD4BD8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925638">
    <w:abstractNumId w:val="1"/>
  </w:num>
  <w:num w:numId="2" w16cid:durableId="435366992">
    <w:abstractNumId w:val="2"/>
  </w:num>
  <w:num w:numId="3" w16cid:durableId="520750053">
    <w:abstractNumId w:val="4"/>
  </w:num>
  <w:num w:numId="4" w16cid:durableId="1271012784">
    <w:abstractNumId w:val="0"/>
  </w:num>
  <w:num w:numId="5" w16cid:durableId="6343353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FB"/>
    <w:rsid w:val="00017823"/>
    <w:rsid w:val="0007668C"/>
    <w:rsid w:val="00183A53"/>
    <w:rsid w:val="001B40E6"/>
    <w:rsid w:val="0026666F"/>
    <w:rsid w:val="00397D4B"/>
    <w:rsid w:val="003C0E54"/>
    <w:rsid w:val="003D62B7"/>
    <w:rsid w:val="0051152A"/>
    <w:rsid w:val="00661047"/>
    <w:rsid w:val="006662FB"/>
    <w:rsid w:val="006E07B4"/>
    <w:rsid w:val="007726AA"/>
    <w:rsid w:val="007F7DA6"/>
    <w:rsid w:val="0088650E"/>
    <w:rsid w:val="00B60106"/>
    <w:rsid w:val="00BC7CDA"/>
    <w:rsid w:val="00BE1671"/>
    <w:rsid w:val="00CB276C"/>
    <w:rsid w:val="00CD1349"/>
    <w:rsid w:val="00D02678"/>
    <w:rsid w:val="00D90DFB"/>
    <w:rsid w:val="00DD4AA0"/>
    <w:rsid w:val="00F846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E35E2"/>
  <w15:chartTrackingRefBased/>
  <w15:docId w15:val="{E12D996A-9D36-499A-BC78-AE2D54F14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6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6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62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62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62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62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62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62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62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2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62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62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62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62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62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62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62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62FB"/>
    <w:rPr>
      <w:rFonts w:eastAsiaTheme="majorEastAsia" w:cstheme="majorBidi"/>
      <w:color w:val="272727" w:themeColor="text1" w:themeTint="D8"/>
    </w:rPr>
  </w:style>
  <w:style w:type="paragraph" w:styleId="Title">
    <w:name w:val="Title"/>
    <w:basedOn w:val="Normal"/>
    <w:next w:val="Normal"/>
    <w:link w:val="TitleChar"/>
    <w:uiPriority w:val="10"/>
    <w:qFormat/>
    <w:rsid w:val="00666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2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62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62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62FB"/>
    <w:pPr>
      <w:spacing w:before="160"/>
      <w:jc w:val="center"/>
    </w:pPr>
    <w:rPr>
      <w:i/>
      <w:iCs/>
      <w:color w:val="404040" w:themeColor="text1" w:themeTint="BF"/>
    </w:rPr>
  </w:style>
  <w:style w:type="character" w:customStyle="1" w:styleId="QuoteChar">
    <w:name w:val="Quote Char"/>
    <w:basedOn w:val="DefaultParagraphFont"/>
    <w:link w:val="Quote"/>
    <w:uiPriority w:val="29"/>
    <w:rsid w:val="006662FB"/>
    <w:rPr>
      <w:i/>
      <w:iCs/>
      <w:color w:val="404040" w:themeColor="text1" w:themeTint="BF"/>
    </w:rPr>
  </w:style>
  <w:style w:type="paragraph" w:styleId="ListParagraph">
    <w:name w:val="List Paragraph"/>
    <w:basedOn w:val="Normal"/>
    <w:uiPriority w:val="34"/>
    <w:qFormat/>
    <w:rsid w:val="006662FB"/>
    <w:pPr>
      <w:ind w:left="720"/>
      <w:contextualSpacing/>
    </w:pPr>
  </w:style>
  <w:style w:type="character" w:styleId="IntenseEmphasis">
    <w:name w:val="Intense Emphasis"/>
    <w:basedOn w:val="DefaultParagraphFont"/>
    <w:uiPriority w:val="21"/>
    <w:qFormat/>
    <w:rsid w:val="006662FB"/>
    <w:rPr>
      <w:i/>
      <w:iCs/>
      <w:color w:val="0F4761" w:themeColor="accent1" w:themeShade="BF"/>
    </w:rPr>
  </w:style>
  <w:style w:type="paragraph" w:styleId="IntenseQuote">
    <w:name w:val="Intense Quote"/>
    <w:basedOn w:val="Normal"/>
    <w:next w:val="Normal"/>
    <w:link w:val="IntenseQuoteChar"/>
    <w:uiPriority w:val="30"/>
    <w:qFormat/>
    <w:rsid w:val="00666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62FB"/>
    <w:rPr>
      <w:i/>
      <w:iCs/>
      <w:color w:val="0F4761" w:themeColor="accent1" w:themeShade="BF"/>
    </w:rPr>
  </w:style>
  <w:style w:type="character" w:styleId="IntenseReference">
    <w:name w:val="Intense Reference"/>
    <w:basedOn w:val="DefaultParagraphFont"/>
    <w:uiPriority w:val="32"/>
    <w:qFormat/>
    <w:rsid w:val="006662FB"/>
    <w:rPr>
      <w:b/>
      <w:bCs/>
      <w:smallCaps/>
      <w:color w:val="0F4761" w:themeColor="accent1" w:themeShade="BF"/>
      <w:spacing w:val="5"/>
    </w:rPr>
  </w:style>
  <w:style w:type="paragraph" w:styleId="Header">
    <w:name w:val="header"/>
    <w:basedOn w:val="Normal"/>
    <w:link w:val="HeaderChar"/>
    <w:uiPriority w:val="99"/>
    <w:unhideWhenUsed/>
    <w:rsid w:val="00666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2FB"/>
  </w:style>
  <w:style w:type="paragraph" w:styleId="Footer">
    <w:name w:val="footer"/>
    <w:basedOn w:val="Normal"/>
    <w:link w:val="FooterChar"/>
    <w:uiPriority w:val="99"/>
    <w:unhideWhenUsed/>
    <w:rsid w:val="00666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2FB"/>
  </w:style>
  <w:style w:type="paragraph" w:customStyle="1" w:styleId="Default">
    <w:name w:val="Default"/>
    <w:rsid w:val="00017823"/>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C2EC0-A68D-4E66-96B2-DEC2CD8A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Beal, Andrew</dc:creator>
  <cp:keywords/>
  <dc:description/>
  <cp:lastModifiedBy>Cassar, Salvatore</cp:lastModifiedBy>
  <cp:revision>7</cp:revision>
  <dcterms:created xsi:type="dcterms:W3CDTF">2026-03-26T18:41:00Z</dcterms:created>
  <dcterms:modified xsi:type="dcterms:W3CDTF">2026-04-09T13:44:00Z</dcterms:modified>
</cp:coreProperties>
</file>