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A641" w14:textId="77777777" w:rsidR="00A229D3" w:rsidRDefault="00A229D3" w:rsidP="210242E4">
      <w:pPr>
        <w:pStyle w:val="Heading3"/>
      </w:pPr>
    </w:p>
    <w:p w14:paraId="48BBECA1" w14:textId="77777777" w:rsidR="00A229D3" w:rsidRDefault="00A229D3" w:rsidP="000F4D2E">
      <w:pPr>
        <w:jc w:val="center"/>
        <w:rPr>
          <w:i/>
          <w:sz w:val="72"/>
          <w:szCs w:val="72"/>
        </w:rPr>
      </w:pPr>
    </w:p>
    <w:p w14:paraId="3BF74270" w14:textId="77777777" w:rsidR="0058723D" w:rsidRDefault="0058723D" w:rsidP="000F4D2E">
      <w:pPr>
        <w:pStyle w:val="BodyText"/>
        <w:jc w:val="center"/>
        <w:rPr>
          <w:i/>
          <w:iCs/>
          <w:sz w:val="72"/>
          <w:szCs w:val="72"/>
        </w:rPr>
      </w:pPr>
    </w:p>
    <w:p w14:paraId="1A0F4A72" w14:textId="5C38B7E0" w:rsidR="000F4D2E" w:rsidRPr="009C6EED" w:rsidRDefault="003F011A" w:rsidP="000F4D2E">
      <w:pPr>
        <w:pStyle w:val="BodyText"/>
        <w:jc w:val="center"/>
        <w:rPr>
          <w:b/>
          <w:bCs/>
          <w:sz w:val="72"/>
          <w:szCs w:val="72"/>
        </w:rPr>
      </w:pPr>
      <w:r w:rsidRPr="30621045">
        <w:rPr>
          <w:i/>
          <w:iCs/>
          <w:sz w:val="72"/>
          <w:szCs w:val="72"/>
        </w:rPr>
        <w:t xml:space="preserve">NC </w:t>
      </w:r>
      <w:r w:rsidR="599A2138" w:rsidRPr="30621045">
        <w:rPr>
          <w:i/>
          <w:iCs/>
          <w:sz w:val="72"/>
          <w:szCs w:val="72"/>
        </w:rPr>
        <w:t xml:space="preserve">Job Ready </w:t>
      </w:r>
      <w:r w:rsidRPr="30621045">
        <w:rPr>
          <w:i/>
          <w:iCs/>
          <w:sz w:val="72"/>
          <w:szCs w:val="72"/>
        </w:rPr>
        <w:t>Grant</w:t>
      </w:r>
      <w:r w:rsidRPr="003F011A">
        <w:rPr>
          <w:i/>
          <w:iCs/>
          <w:sz w:val="72"/>
          <w:szCs w:val="72"/>
        </w:rPr>
        <w:t> Application</w:t>
      </w:r>
    </w:p>
    <w:p w14:paraId="57A7A532" w14:textId="77777777" w:rsidR="000F4D2E" w:rsidRPr="009C6EED" w:rsidRDefault="000F4D2E" w:rsidP="000F4D2E">
      <w:pPr>
        <w:pStyle w:val="BodyText"/>
        <w:jc w:val="center"/>
        <w:rPr>
          <w:b/>
          <w:bCs/>
          <w:sz w:val="72"/>
          <w:szCs w:val="72"/>
        </w:rPr>
      </w:pPr>
    </w:p>
    <w:p w14:paraId="55794854" w14:textId="77777777" w:rsidR="000F4D2E" w:rsidRPr="009C6EED" w:rsidRDefault="000F4D2E" w:rsidP="000F4D2E">
      <w:pPr>
        <w:pStyle w:val="BodyText"/>
        <w:jc w:val="center"/>
        <w:rPr>
          <w:b/>
          <w:bCs/>
          <w:sz w:val="72"/>
          <w:szCs w:val="72"/>
        </w:rPr>
      </w:pPr>
    </w:p>
    <w:p w14:paraId="28D89E33" w14:textId="05DE4F96" w:rsidR="000F4D2E" w:rsidRPr="009C6EED" w:rsidRDefault="1B8A2001">
      <w:pPr>
        <w:pStyle w:val="BodyText"/>
        <w:jc w:val="center"/>
        <w:rPr>
          <w:b/>
          <w:bCs/>
          <w:sz w:val="72"/>
          <w:szCs w:val="72"/>
        </w:rPr>
      </w:pPr>
      <w:r w:rsidRPr="30621045">
        <w:rPr>
          <w:b/>
          <w:bCs/>
          <w:sz w:val="72"/>
          <w:szCs w:val="72"/>
        </w:rPr>
        <w:t>November</w:t>
      </w:r>
      <w:r w:rsidR="00A229D3" w:rsidRPr="30621045">
        <w:rPr>
          <w:b/>
          <w:bCs/>
          <w:sz w:val="72"/>
          <w:szCs w:val="72"/>
        </w:rPr>
        <w:t xml:space="preserve"> </w:t>
      </w:r>
      <w:r w:rsidR="00D71929" w:rsidRPr="30621045">
        <w:rPr>
          <w:b/>
          <w:bCs/>
          <w:sz w:val="72"/>
          <w:szCs w:val="72"/>
        </w:rPr>
        <w:t>20</w:t>
      </w:r>
      <w:r w:rsidR="006579BB" w:rsidRPr="30621045">
        <w:rPr>
          <w:b/>
          <w:bCs/>
          <w:sz w:val="72"/>
          <w:szCs w:val="72"/>
        </w:rPr>
        <w:t>25</w:t>
      </w:r>
    </w:p>
    <w:p w14:paraId="1939E2A5" w14:textId="77777777" w:rsidR="000F4D2E" w:rsidRPr="009C6EED" w:rsidRDefault="000F4D2E" w:rsidP="000F4D2E">
      <w:pPr>
        <w:pStyle w:val="BodyText"/>
        <w:jc w:val="center"/>
        <w:outlineLvl w:val="0"/>
        <w:rPr>
          <w:b/>
          <w:bCs/>
        </w:rPr>
      </w:pPr>
    </w:p>
    <w:p w14:paraId="5CB89ECB" w14:textId="77777777" w:rsidR="000F4D2E" w:rsidRPr="009C6EED" w:rsidRDefault="000F4D2E" w:rsidP="000F4D2E">
      <w:pPr>
        <w:autoSpaceDE w:val="0"/>
        <w:autoSpaceDN w:val="0"/>
        <w:adjustRightInd w:val="0"/>
        <w:jc w:val="center"/>
        <w:rPr>
          <w:b/>
          <w:sz w:val="24"/>
          <w:szCs w:val="24"/>
        </w:rPr>
      </w:pPr>
      <w:bookmarkStart w:id="0" w:name="_Toc241984841"/>
      <w:bookmarkStart w:id="1" w:name="_Toc243377496"/>
      <w:bookmarkStart w:id="2" w:name="_Toc243380047"/>
      <w:bookmarkStart w:id="3" w:name="_Toc243380576"/>
    </w:p>
    <w:p w14:paraId="75C637F3" w14:textId="66E2AD64" w:rsidR="000F4D2E" w:rsidRDefault="000F4D2E" w:rsidP="000418E1">
      <w:pPr>
        <w:spacing w:after="160" w:line="259" w:lineRule="auto"/>
        <w:rPr>
          <w:sz w:val="32"/>
        </w:rPr>
      </w:pPr>
      <w:r w:rsidRPr="009C6EED">
        <w:rPr>
          <w:b/>
          <w:sz w:val="24"/>
          <w:szCs w:val="24"/>
        </w:rPr>
        <w:br w:type="page"/>
      </w:r>
      <w:bookmarkStart w:id="4" w:name="_Toc241984835"/>
      <w:bookmarkStart w:id="5" w:name="_Toc454276539"/>
      <w:bookmarkStart w:id="6" w:name="_Toc454352443"/>
    </w:p>
    <w:p w14:paraId="29FF71F3" w14:textId="77777777" w:rsidR="000F4D2E" w:rsidRPr="008C5CDC" w:rsidRDefault="000F4D2E" w:rsidP="000F4D2E">
      <w:pPr>
        <w:keepNext/>
        <w:jc w:val="center"/>
        <w:outlineLvl w:val="0"/>
        <w:rPr>
          <w:sz w:val="32"/>
        </w:rPr>
      </w:pPr>
      <w:r w:rsidRPr="008C5CDC">
        <w:rPr>
          <w:sz w:val="32"/>
        </w:rPr>
        <w:lastRenderedPageBreak/>
        <w:t>Application Submission</w:t>
      </w:r>
      <w:bookmarkEnd w:id="4"/>
      <w:bookmarkEnd w:id="5"/>
      <w:bookmarkEnd w:id="6"/>
    </w:p>
    <w:p w14:paraId="47C341C2" w14:textId="77777777" w:rsidR="000F4D2E" w:rsidRPr="008C5CDC" w:rsidRDefault="000F4D2E" w:rsidP="000F4D2E"/>
    <w:p w14:paraId="24239264" w14:textId="2590EC64" w:rsidR="00EF12CB" w:rsidRPr="008C5CDC" w:rsidRDefault="00EF12CB" w:rsidP="00EF12CB">
      <w:pPr>
        <w:tabs>
          <w:tab w:val="center" w:pos="4320"/>
          <w:tab w:val="right" w:pos="8640"/>
        </w:tabs>
        <w:jc w:val="both"/>
        <w:rPr>
          <w:sz w:val="24"/>
          <w:szCs w:val="24"/>
        </w:rPr>
      </w:pPr>
      <w:r w:rsidRPr="30621045">
        <w:rPr>
          <w:sz w:val="24"/>
          <w:szCs w:val="24"/>
        </w:rPr>
        <w:t>Submit the completed application with original signatures and supporting documents</w:t>
      </w:r>
      <w:r w:rsidR="00FE1D81" w:rsidRPr="30621045">
        <w:rPr>
          <w:sz w:val="24"/>
          <w:szCs w:val="24"/>
        </w:rPr>
        <w:t xml:space="preserve"> (DocuSign® or similar software is acceptable)</w:t>
      </w:r>
      <w:r w:rsidRPr="30621045">
        <w:rPr>
          <w:sz w:val="24"/>
          <w:szCs w:val="24"/>
        </w:rPr>
        <w:t>, including employer training proposal and approved training vendor quote. Electronic mail of the application is acceptable with a scanned copy of the signatory page and scanned documents. The signature page can be found at</w:t>
      </w:r>
      <w:r w:rsidR="008B1155" w:rsidRPr="30621045">
        <w:rPr>
          <w:sz w:val="24"/>
          <w:szCs w:val="24"/>
        </w:rPr>
        <w:t xml:space="preserve"> Page </w:t>
      </w:r>
      <w:r w:rsidR="00763598">
        <w:rPr>
          <w:sz w:val="24"/>
          <w:szCs w:val="24"/>
        </w:rPr>
        <w:t>6</w:t>
      </w:r>
      <w:r w:rsidR="008B1155" w:rsidRPr="30621045">
        <w:rPr>
          <w:sz w:val="24"/>
          <w:szCs w:val="24"/>
        </w:rPr>
        <w:t xml:space="preserve"> of this </w:t>
      </w:r>
      <w:r w:rsidRPr="30621045">
        <w:rPr>
          <w:sz w:val="24"/>
          <w:szCs w:val="24"/>
        </w:rPr>
        <w:t>Attachment</w:t>
      </w:r>
      <w:r w:rsidR="000C5346" w:rsidRPr="30621045">
        <w:rPr>
          <w:sz w:val="24"/>
          <w:szCs w:val="24"/>
        </w:rPr>
        <w:t>.</w:t>
      </w:r>
    </w:p>
    <w:p w14:paraId="2E1197D8" w14:textId="77777777" w:rsidR="000F4D2E" w:rsidRPr="008C5CDC" w:rsidRDefault="000F4D2E" w:rsidP="000F4D2E">
      <w:pPr>
        <w:tabs>
          <w:tab w:val="center" w:pos="4320"/>
          <w:tab w:val="right" w:pos="8640"/>
        </w:tabs>
        <w:jc w:val="both"/>
        <w:rPr>
          <w:sz w:val="24"/>
          <w:szCs w:val="24"/>
        </w:rPr>
      </w:pPr>
    </w:p>
    <w:p w14:paraId="73FB079E" w14:textId="77777777" w:rsidR="000F4D2E" w:rsidRPr="008C5CDC" w:rsidRDefault="000F4D2E" w:rsidP="000F4D2E">
      <w:pPr>
        <w:tabs>
          <w:tab w:val="left" w:pos="2565"/>
        </w:tabs>
        <w:jc w:val="both"/>
      </w:pPr>
      <w:r w:rsidRPr="008C5CDC">
        <w:tab/>
      </w:r>
    </w:p>
    <w:p w14:paraId="0060238D" w14:textId="3A4FE193" w:rsidR="000F4D2E" w:rsidRDefault="000F4D2E" w:rsidP="000F4D2E">
      <w:pPr>
        <w:rPr>
          <w:i/>
          <w:sz w:val="24"/>
          <w:szCs w:val="24"/>
        </w:rPr>
      </w:pPr>
      <w:bookmarkStart w:id="7" w:name="_Toc241984836"/>
      <w:bookmarkStart w:id="8" w:name="_Toc243377490"/>
      <w:bookmarkStart w:id="9" w:name="_Toc243380041"/>
      <w:bookmarkStart w:id="10" w:name="_Toc243380570"/>
      <w:bookmarkStart w:id="11" w:name="_Toc454276540"/>
      <w:r w:rsidRPr="008C5CDC">
        <w:rPr>
          <w:i/>
          <w:sz w:val="24"/>
          <w:szCs w:val="24"/>
        </w:rPr>
        <w:t>Submit the Application Package to:</w:t>
      </w:r>
      <w:bookmarkEnd w:id="7"/>
      <w:bookmarkEnd w:id="8"/>
      <w:bookmarkEnd w:id="9"/>
      <w:bookmarkEnd w:id="10"/>
      <w:bookmarkEnd w:id="11"/>
    </w:p>
    <w:p w14:paraId="258D8D9C" w14:textId="427E5EE8" w:rsidR="00316448" w:rsidRDefault="00316448" w:rsidP="000F4D2E">
      <w:pPr>
        <w:rPr>
          <w:i/>
          <w:sz w:val="24"/>
          <w:szCs w:val="24"/>
        </w:rPr>
      </w:pPr>
    </w:p>
    <w:p w14:paraId="17606B89" w14:textId="701B4674" w:rsidR="00077E76" w:rsidRDefault="00131D0C" w:rsidP="000F4D2E">
      <w:pPr>
        <w:rPr>
          <w:iCs/>
          <w:sz w:val="24"/>
          <w:szCs w:val="24"/>
        </w:rPr>
      </w:pPr>
      <w:r>
        <w:rPr>
          <w:iCs/>
          <w:sz w:val="24"/>
          <w:szCs w:val="24"/>
        </w:rPr>
        <w:t>David Lee</w:t>
      </w:r>
    </w:p>
    <w:p w14:paraId="193F7C80" w14:textId="6FE3DF6A" w:rsidR="00131D0C" w:rsidRPr="002D11F4" w:rsidRDefault="00131D0C" w:rsidP="000F4D2E">
      <w:pPr>
        <w:rPr>
          <w:sz w:val="24"/>
          <w:szCs w:val="24"/>
        </w:rPr>
      </w:pPr>
      <w:hyperlink r:id="rId11" w:history="1">
        <w:r w:rsidRPr="002D11F4">
          <w:rPr>
            <w:rStyle w:val="Hyperlink"/>
            <w:iCs/>
            <w:sz w:val="24"/>
            <w:szCs w:val="24"/>
          </w:rPr>
          <w:t>david.lee@commerce.</w:t>
        </w:r>
        <w:r w:rsidRPr="002D11F4">
          <w:rPr>
            <w:rStyle w:val="Hyperlink"/>
            <w:sz w:val="24"/>
            <w:szCs w:val="24"/>
          </w:rPr>
          <w:t>nc.gov</w:t>
        </w:r>
      </w:hyperlink>
    </w:p>
    <w:p w14:paraId="050BBDD5" w14:textId="2BC0731C" w:rsidR="00316448" w:rsidRPr="00316448" w:rsidRDefault="00316448" w:rsidP="30621045">
      <w:pPr>
        <w:rPr>
          <w:sz w:val="24"/>
          <w:szCs w:val="24"/>
        </w:rPr>
      </w:pPr>
      <w:r w:rsidRPr="30621045">
        <w:rPr>
          <w:sz w:val="24"/>
          <w:szCs w:val="24"/>
        </w:rPr>
        <w:t xml:space="preserve">NC </w:t>
      </w:r>
      <w:r w:rsidR="3463BD0A" w:rsidRPr="30621045">
        <w:rPr>
          <w:sz w:val="24"/>
          <w:szCs w:val="24"/>
        </w:rPr>
        <w:t xml:space="preserve">Department of Commerce, </w:t>
      </w:r>
      <w:r w:rsidRPr="30621045">
        <w:rPr>
          <w:sz w:val="24"/>
          <w:szCs w:val="24"/>
        </w:rPr>
        <w:t>Division of Workforce Solutions</w:t>
      </w:r>
      <w:r>
        <w:br/>
      </w:r>
    </w:p>
    <w:p w14:paraId="0340821D" w14:textId="77777777" w:rsidR="000F4D2E" w:rsidRPr="008C5CDC" w:rsidRDefault="000F4D2E" w:rsidP="000F4D2E">
      <w:pPr>
        <w:rPr>
          <w:b/>
        </w:rPr>
      </w:pPr>
    </w:p>
    <w:p w14:paraId="5188F61F" w14:textId="27CA8CA6" w:rsidR="00023DA5" w:rsidRDefault="00023DA5" w:rsidP="000F4D2E">
      <w:pPr>
        <w:ind w:firstLine="720"/>
        <w:rPr>
          <w:b/>
          <w:bCs/>
          <w:sz w:val="24"/>
          <w:szCs w:val="24"/>
        </w:rPr>
      </w:pPr>
    </w:p>
    <w:p w14:paraId="4E4DA88E" w14:textId="77777777" w:rsidR="000F4D2E" w:rsidRPr="008C5CDC" w:rsidRDefault="000F4D2E" w:rsidP="000F4D2E">
      <w:pPr>
        <w:keepNext/>
        <w:jc w:val="center"/>
        <w:outlineLvl w:val="0"/>
        <w:rPr>
          <w:sz w:val="32"/>
        </w:rPr>
      </w:pPr>
      <w:bookmarkStart w:id="12" w:name="_Toc454276542"/>
      <w:bookmarkStart w:id="13" w:name="_Toc454352445"/>
      <w:bookmarkStart w:id="14" w:name="_Toc241983828"/>
      <w:bookmarkStart w:id="15" w:name="_Toc241984837"/>
    </w:p>
    <w:p w14:paraId="14483890" w14:textId="77777777" w:rsidR="000F4D2E" w:rsidRPr="008C5CDC" w:rsidRDefault="000F4D2E" w:rsidP="000F4D2E">
      <w:pPr>
        <w:keepNext/>
        <w:jc w:val="center"/>
        <w:outlineLvl w:val="0"/>
        <w:rPr>
          <w:sz w:val="32"/>
        </w:rPr>
      </w:pPr>
      <w:r w:rsidRPr="008C5CDC">
        <w:rPr>
          <w:sz w:val="32"/>
        </w:rPr>
        <w:t>Review Process</w:t>
      </w:r>
      <w:bookmarkEnd w:id="12"/>
      <w:bookmarkEnd w:id="13"/>
    </w:p>
    <w:p w14:paraId="31AEB226" w14:textId="77777777" w:rsidR="000F4D2E" w:rsidRPr="008C5CDC" w:rsidRDefault="000F4D2E" w:rsidP="000F4D2E"/>
    <w:p w14:paraId="5BABF1CF" w14:textId="77777777" w:rsidR="006F1F59" w:rsidRDefault="006F1F59" w:rsidP="000F4D2E">
      <w:pPr>
        <w:autoSpaceDE w:val="0"/>
        <w:autoSpaceDN w:val="0"/>
        <w:adjustRightInd w:val="0"/>
        <w:jc w:val="both"/>
        <w:rPr>
          <w:rFonts w:eastAsia="Calibri"/>
          <w:sz w:val="24"/>
          <w:szCs w:val="24"/>
        </w:rPr>
      </w:pPr>
    </w:p>
    <w:p w14:paraId="77017BAF" w14:textId="31F309E4" w:rsidR="000F4D2E" w:rsidRDefault="004912BE" w:rsidP="000F4D2E">
      <w:pPr>
        <w:autoSpaceDE w:val="0"/>
        <w:autoSpaceDN w:val="0"/>
        <w:adjustRightInd w:val="0"/>
        <w:jc w:val="both"/>
        <w:rPr>
          <w:rFonts w:eastAsia="Calibri"/>
          <w:sz w:val="24"/>
          <w:szCs w:val="24"/>
        </w:rPr>
      </w:pPr>
      <w:r w:rsidRPr="30621045">
        <w:rPr>
          <w:rFonts w:eastAsia="Calibri"/>
          <w:sz w:val="24"/>
          <w:szCs w:val="24"/>
        </w:rPr>
        <w:t xml:space="preserve">NC </w:t>
      </w:r>
      <w:r w:rsidR="00D779ED" w:rsidRPr="30621045">
        <w:rPr>
          <w:rFonts w:eastAsia="Calibri"/>
          <w:sz w:val="24"/>
          <w:szCs w:val="24"/>
        </w:rPr>
        <w:t xml:space="preserve">Department of Commerce’s </w:t>
      </w:r>
      <w:r w:rsidR="00FE1D81" w:rsidRPr="30621045">
        <w:rPr>
          <w:rFonts w:eastAsia="Calibri"/>
          <w:sz w:val="24"/>
          <w:szCs w:val="24"/>
        </w:rPr>
        <w:t xml:space="preserve">assigned </w:t>
      </w:r>
      <w:r w:rsidR="00AE6CC8" w:rsidRPr="30621045">
        <w:rPr>
          <w:rFonts w:eastAsia="Calibri"/>
          <w:sz w:val="24"/>
          <w:szCs w:val="24"/>
        </w:rPr>
        <w:t>Division of Workforce Solutions (</w:t>
      </w:r>
      <w:r w:rsidRPr="30621045">
        <w:rPr>
          <w:rFonts w:eastAsia="Calibri"/>
          <w:sz w:val="24"/>
          <w:szCs w:val="24"/>
        </w:rPr>
        <w:t>D</w:t>
      </w:r>
      <w:r w:rsidR="00704D35" w:rsidRPr="30621045">
        <w:rPr>
          <w:rFonts w:eastAsia="Calibri"/>
          <w:sz w:val="24"/>
          <w:szCs w:val="24"/>
        </w:rPr>
        <w:t>WS</w:t>
      </w:r>
      <w:r w:rsidR="00AE6CC8" w:rsidRPr="30621045">
        <w:rPr>
          <w:rFonts w:eastAsia="Calibri"/>
          <w:sz w:val="24"/>
          <w:szCs w:val="24"/>
        </w:rPr>
        <w:t>)</w:t>
      </w:r>
      <w:r w:rsidRPr="30621045">
        <w:rPr>
          <w:rFonts w:eastAsia="Calibri"/>
          <w:sz w:val="24"/>
          <w:szCs w:val="24"/>
        </w:rPr>
        <w:t xml:space="preserve"> staff will complete a review of all </w:t>
      </w:r>
      <w:r w:rsidR="00866B8A" w:rsidRPr="30621045">
        <w:rPr>
          <w:rFonts w:eastAsia="Calibri"/>
          <w:sz w:val="24"/>
          <w:szCs w:val="24"/>
        </w:rPr>
        <w:t xml:space="preserve">state economic development </w:t>
      </w:r>
      <w:r w:rsidR="00912E4E" w:rsidRPr="30621045">
        <w:rPr>
          <w:rFonts w:eastAsia="Calibri"/>
          <w:sz w:val="24"/>
          <w:szCs w:val="24"/>
        </w:rPr>
        <w:t xml:space="preserve">project </w:t>
      </w:r>
      <w:r w:rsidR="00866B8A" w:rsidRPr="30621045">
        <w:rPr>
          <w:rFonts w:eastAsia="Calibri"/>
          <w:sz w:val="24"/>
          <w:szCs w:val="24"/>
        </w:rPr>
        <w:t>Briefing Memos</w:t>
      </w:r>
      <w:r w:rsidR="00E40F3F" w:rsidRPr="30621045">
        <w:rPr>
          <w:rFonts w:eastAsia="Calibri"/>
          <w:sz w:val="24"/>
          <w:szCs w:val="24"/>
        </w:rPr>
        <w:t xml:space="preserve"> with the appropriate </w:t>
      </w:r>
      <w:r w:rsidR="00AE6CC8" w:rsidRPr="30621045">
        <w:rPr>
          <w:sz w:val="24"/>
          <w:szCs w:val="24"/>
        </w:rPr>
        <w:t>Workforce Development Board</w:t>
      </w:r>
      <w:r w:rsidR="3376491F" w:rsidRPr="30621045">
        <w:rPr>
          <w:sz w:val="24"/>
          <w:szCs w:val="24"/>
        </w:rPr>
        <w:t>(</w:t>
      </w:r>
      <w:r w:rsidR="00AE6CC8" w:rsidRPr="30621045">
        <w:rPr>
          <w:sz w:val="24"/>
          <w:szCs w:val="24"/>
        </w:rPr>
        <w:t>s</w:t>
      </w:r>
      <w:r w:rsidR="036C5449" w:rsidRPr="30621045">
        <w:rPr>
          <w:sz w:val="24"/>
          <w:szCs w:val="24"/>
        </w:rPr>
        <w:t>)</w:t>
      </w:r>
      <w:r w:rsidR="00AE6CC8" w:rsidRPr="30621045">
        <w:rPr>
          <w:sz w:val="24"/>
          <w:szCs w:val="24"/>
        </w:rPr>
        <w:t xml:space="preserve"> (</w:t>
      </w:r>
      <w:r w:rsidR="00E40F3F" w:rsidRPr="30621045">
        <w:rPr>
          <w:rFonts w:eastAsia="Calibri"/>
          <w:sz w:val="24"/>
          <w:szCs w:val="24"/>
        </w:rPr>
        <w:t>WDB</w:t>
      </w:r>
      <w:r w:rsidR="00FB293D" w:rsidRPr="30621045">
        <w:rPr>
          <w:rFonts w:eastAsia="Calibri"/>
          <w:sz w:val="24"/>
          <w:szCs w:val="24"/>
        </w:rPr>
        <w:t>(s)</w:t>
      </w:r>
      <w:r w:rsidR="00AE6CC8" w:rsidRPr="30621045">
        <w:rPr>
          <w:rFonts w:eastAsia="Calibri"/>
          <w:sz w:val="24"/>
          <w:szCs w:val="24"/>
        </w:rPr>
        <w:t>)</w:t>
      </w:r>
      <w:r w:rsidR="00E40F3F" w:rsidRPr="30621045">
        <w:rPr>
          <w:rFonts w:eastAsia="Calibri"/>
          <w:sz w:val="24"/>
          <w:szCs w:val="24"/>
        </w:rPr>
        <w:t xml:space="preserve"> staff to determine eligibility and </w:t>
      </w:r>
      <w:r w:rsidR="00B65643" w:rsidRPr="30621045">
        <w:rPr>
          <w:rFonts w:eastAsia="Calibri"/>
          <w:sz w:val="24"/>
          <w:szCs w:val="24"/>
        </w:rPr>
        <w:t xml:space="preserve">level of </w:t>
      </w:r>
      <w:r w:rsidR="00E40F3F" w:rsidRPr="30621045">
        <w:rPr>
          <w:rFonts w:eastAsia="Calibri"/>
          <w:sz w:val="24"/>
          <w:szCs w:val="24"/>
        </w:rPr>
        <w:t xml:space="preserve">support for the project. </w:t>
      </w:r>
      <w:r w:rsidR="00FE1D81" w:rsidRPr="30621045">
        <w:rPr>
          <w:rFonts w:eastAsia="Calibri"/>
          <w:sz w:val="24"/>
          <w:szCs w:val="24"/>
        </w:rPr>
        <w:t xml:space="preserve">Since </w:t>
      </w:r>
      <w:r w:rsidR="00305285" w:rsidRPr="30621045">
        <w:rPr>
          <w:rFonts w:eastAsia="Calibri"/>
          <w:sz w:val="24"/>
          <w:szCs w:val="24"/>
        </w:rPr>
        <w:t xml:space="preserve">economic development projects are time sensitive, the review will be completed within </w:t>
      </w:r>
      <w:r w:rsidR="00C96ACD" w:rsidRPr="30621045">
        <w:rPr>
          <w:rFonts w:eastAsia="Calibri"/>
          <w:sz w:val="24"/>
          <w:szCs w:val="24"/>
        </w:rPr>
        <w:t>one business day</w:t>
      </w:r>
      <w:r w:rsidR="00305285" w:rsidRPr="30621045">
        <w:rPr>
          <w:rFonts w:eastAsia="Calibri"/>
          <w:sz w:val="24"/>
          <w:szCs w:val="24"/>
        </w:rPr>
        <w:t xml:space="preserve"> of receiving </w:t>
      </w:r>
      <w:r w:rsidR="00E56990" w:rsidRPr="30621045">
        <w:rPr>
          <w:rFonts w:eastAsia="Calibri"/>
          <w:sz w:val="24"/>
          <w:szCs w:val="24"/>
        </w:rPr>
        <w:t xml:space="preserve">the </w:t>
      </w:r>
      <w:r w:rsidR="00EA384F" w:rsidRPr="30621045">
        <w:rPr>
          <w:rFonts w:eastAsia="Calibri"/>
          <w:sz w:val="24"/>
          <w:szCs w:val="24"/>
        </w:rPr>
        <w:t xml:space="preserve">project </w:t>
      </w:r>
      <w:r w:rsidR="00E56990" w:rsidRPr="30621045">
        <w:rPr>
          <w:rFonts w:eastAsia="Calibri"/>
          <w:sz w:val="24"/>
          <w:szCs w:val="24"/>
        </w:rPr>
        <w:t xml:space="preserve">Briefing Memo. A compilation of all supporting </w:t>
      </w:r>
      <w:r w:rsidR="003E4A8D" w:rsidRPr="30621045">
        <w:rPr>
          <w:rFonts w:eastAsia="Calibri"/>
          <w:sz w:val="24"/>
          <w:szCs w:val="24"/>
        </w:rPr>
        <w:t xml:space="preserve">state and </w:t>
      </w:r>
      <w:r w:rsidR="00581C08" w:rsidRPr="30621045">
        <w:rPr>
          <w:rFonts w:eastAsia="Calibri"/>
          <w:sz w:val="24"/>
          <w:szCs w:val="24"/>
        </w:rPr>
        <w:t xml:space="preserve">WDB </w:t>
      </w:r>
      <w:r w:rsidR="00FF5BA8" w:rsidRPr="30621045">
        <w:rPr>
          <w:rFonts w:eastAsia="Calibri"/>
          <w:sz w:val="24"/>
          <w:szCs w:val="24"/>
        </w:rPr>
        <w:t xml:space="preserve">investments </w:t>
      </w:r>
      <w:r w:rsidR="009C5DB6" w:rsidRPr="30621045">
        <w:rPr>
          <w:rFonts w:eastAsia="Calibri"/>
          <w:sz w:val="24"/>
          <w:szCs w:val="24"/>
        </w:rPr>
        <w:t xml:space="preserve">will </w:t>
      </w:r>
      <w:r w:rsidR="00363065" w:rsidRPr="30621045">
        <w:rPr>
          <w:rFonts w:eastAsia="Calibri"/>
          <w:sz w:val="24"/>
          <w:szCs w:val="24"/>
        </w:rPr>
        <w:t xml:space="preserve">be outlined in a formal support letter from </w:t>
      </w:r>
      <w:r w:rsidR="00FE1D81" w:rsidRPr="30621045">
        <w:rPr>
          <w:rFonts w:eastAsia="Calibri"/>
          <w:sz w:val="24"/>
          <w:szCs w:val="24"/>
        </w:rPr>
        <w:t xml:space="preserve">the </w:t>
      </w:r>
      <w:r w:rsidR="00363065" w:rsidRPr="30621045">
        <w:rPr>
          <w:rFonts w:eastAsia="Calibri"/>
          <w:sz w:val="24"/>
          <w:szCs w:val="24"/>
        </w:rPr>
        <w:t xml:space="preserve">DWS </w:t>
      </w:r>
      <w:r w:rsidR="006632F8" w:rsidRPr="30621045">
        <w:rPr>
          <w:rFonts w:eastAsia="Calibri"/>
          <w:sz w:val="24"/>
          <w:szCs w:val="24"/>
        </w:rPr>
        <w:t xml:space="preserve">and addressed </w:t>
      </w:r>
      <w:r w:rsidR="00363065" w:rsidRPr="30621045">
        <w:rPr>
          <w:rFonts w:eastAsia="Calibri"/>
          <w:sz w:val="24"/>
          <w:szCs w:val="24"/>
        </w:rPr>
        <w:t>to the state economic develop</w:t>
      </w:r>
      <w:r w:rsidR="00BE1323" w:rsidRPr="30621045">
        <w:rPr>
          <w:rFonts w:eastAsia="Calibri"/>
          <w:sz w:val="24"/>
          <w:szCs w:val="24"/>
        </w:rPr>
        <w:t>ment project manager</w:t>
      </w:r>
      <w:r w:rsidR="00113D51" w:rsidRPr="30621045">
        <w:rPr>
          <w:rFonts w:eastAsia="Calibri"/>
          <w:sz w:val="24"/>
          <w:szCs w:val="24"/>
        </w:rPr>
        <w:t>. Included in that letter will be</w:t>
      </w:r>
      <w:r w:rsidR="00D837B7" w:rsidRPr="30621045">
        <w:rPr>
          <w:rFonts w:eastAsia="Calibri"/>
          <w:sz w:val="24"/>
          <w:szCs w:val="24"/>
        </w:rPr>
        <w:t xml:space="preserve"> </w:t>
      </w:r>
      <w:r w:rsidR="00293B8F" w:rsidRPr="30621045">
        <w:rPr>
          <w:rFonts w:eastAsia="Calibri"/>
          <w:sz w:val="24"/>
          <w:szCs w:val="24"/>
        </w:rPr>
        <w:t>a</w:t>
      </w:r>
      <w:r w:rsidR="002B3A31" w:rsidRPr="30621045">
        <w:rPr>
          <w:rFonts w:eastAsia="Calibri"/>
          <w:sz w:val="24"/>
          <w:szCs w:val="24"/>
        </w:rPr>
        <w:t>n additional</w:t>
      </w:r>
      <w:r w:rsidR="00D837B7" w:rsidRPr="30621045">
        <w:rPr>
          <w:rFonts w:eastAsia="Calibri"/>
          <w:sz w:val="24"/>
          <w:szCs w:val="24"/>
        </w:rPr>
        <w:t xml:space="preserve"> </w:t>
      </w:r>
      <w:r w:rsidR="00293B8F" w:rsidRPr="30621045">
        <w:rPr>
          <w:rFonts w:eastAsia="Calibri"/>
          <w:sz w:val="24"/>
          <w:szCs w:val="24"/>
        </w:rPr>
        <w:t xml:space="preserve">amount of </w:t>
      </w:r>
      <w:r w:rsidR="00D837B7" w:rsidRPr="30621045">
        <w:rPr>
          <w:rFonts w:eastAsia="Calibri"/>
          <w:sz w:val="24"/>
          <w:szCs w:val="24"/>
        </w:rPr>
        <w:t>supplemental funds</w:t>
      </w:r>
      <w:r w:rsidR="00E75D35" w:rsidRPr="30621045">
        <w:rPr>
          <w:rFonts w:eastAsia="Calibri"/>
          <w:sz w:val="24"/>
          <w:szCs w:val="24"/>
        </w:rPr>
        <w:t xml:space="preserve"> from the NC </w:t>
      </w:r>
      <w:r w:rsidR="1D37B7BD" w:rsidRPr="30621045">
        <w:rPr>
          <w:rFonts w:eastAsia="Calibri"/>
          <w:sz w:val="24"/>
          <w:szCs w:val="24"/>
        </w:rPr>
        <w:t>Job Ready</w:t>
      </w:r>
      <w:r w:rsidR="00E75D35" w:rsidRPr="30621045">
        <w:rPr>
          <w:rFonts w:eastAsia="Calibri"/>
          <w:sz w:val="24"/>
          <w:szCs w:val="24"/>
        </w:rPr>
        <w:t xml:space="preserve"> Grant</w:t>
      </w:r>
      <w:r w:rsidR="00293B8F" w:rsidRPr="30621045">
        <w:rPr>
          <w:rFonts w:eastAsia="Calibri"/>
          <w:sz w:val="24"/>
          <w:szCs w:val="24"/>
        </w:rPr>
        <w:t>, as agreed upon</w:t>
      </w:r>
      <w:r w:rsidR="00E75D35" w:rsidRPr="30621045">
        <w:rPr>
          <w:rFonts w:eastAsia="Calibri"/>
          <w:sz w:val="24"/>
          <w:szCs w:val="24"/>
        </w:rPr>
        <w:t xml:space="preserve"> between</w:t>
      </w:r>
      <w:r w:rsidR="00FE1D81" w:rsidRPr="30621045">
        <w:rPr>
          <w:rFonts w:eastAsia="Calibri"/>
          <w:sz w:val="24"/>
          <w:szCs w:val="24"/>
        </w:rPr>
        <w:t xml:space="preserve"> the</w:t>
      </w:r>
      <w:r w:rsidR="00E75D35" w:rsidRPr="30621045">
        <w:rPr>
          <w:rFonts w:eastAsia="Calibri"/>
          <w:sz w:val="24"/>
          <w:szCs w:val="24"/>
        </w:rPr>
        <w:t xml:space="preserve"> DWS and the</w:t>
      </w:r>
      <w:r w:rsidR="00581C08" w:rsidRPr="30621045">
        <w:rPr>
          <w:rFonts w:eastAsia="Calibri"/>
          <w:sz w:val="24"/>
          <w:szCs w:val="24"/>
        </w:rPr>
        <w:t xml:space="preserve"> </w:t>
      </w:r>
      <w:r w:rsidR="00E75D35" w:rsidRPr="30621045">
        <w:rPr>
          <w:rFonts w:eastAsia="Calibri"/>
          <w:sz w:val="24"/>
          <w:szCs w:val="24"/>
        </w:rPr>
        <w:t>WDB(s)</w:t>
      </w:r>
      <w:r w:rsidR="005C0300" w:rsidRPr="30621045">
        <w:rPr>
          <w:rFonts w:eastAsia="Calibri"/>
          <w:sz w:val="24"/>
          <w:szCs w:val="24"/>
        </w:rPr>
        <w:t>, not to exceed $50,000 per economic development project</w:t>
      </w:r>
      <w:r w:rsidR="00E75D35" w:rsidRPr="30621045">
        <w:rPr>
          <w:rFonts w:eastAsia="Calibri"/>
          <w:sz w:val="24"/>
          <w:szCs w:val="24"/>
        </w:rPr>
        <w:t>.</w:t>
      </w:r>
      <w:r w:rsidR="00D837B7" w:rsidRPr="30621045">
        <w:rPr>
          <w:rFonts w:eastAsia="Calibri"/>
          <w:sz w:val="24"/>
          <w:szCs w:val="24"/>
        </w:rPr>
        <w:t xml:space="preserve"> </w:t>
      </w:r>
      <w:r w:rsidR="00FE1D81" w:rsidRPr="30621045">
        <w:rPr>
          <w:rFonts w:eastAsia="Calibri"/>
          <w:sz w:val="24"/>
          <w:szCs w:val="24"/>
        </w:rPr>
        <w:t>A</w:t>
      </w:r>
      <w:r w:rsidR="0040771C" w:rsidRPr="30621045">
        <w:rPr>
          <w:rFonts w:eastAsia="Calibri"/>
          <w:sz w:val="24"/>
          <w:szCs w:val="24"/>
        </w:rPr>
        <w:t xml:space="preserve">ll </w:t>
      </w:r>
      <w:r w:rsidR="00E75D35" w:rsidRPr="30621045">
        <w:rPr>
          <w:rFonts w:eastAsia="Calibri"/>
          <w:sz w:val="24"/>
          <w:szCs w:val="24"/>
        </w:rPr>
        <w:t xml:space="preserve">investment grants </w:t>
      </w:r>
      <w:r w:rsidR="0040771C" w:rsidRPr="30621045">
        <w:rPr>
          <w:rFonts w:eastAsia="Calibri"/>
          <w:sz w:val="24"/>
          <w:szCs w:val="24"/>
        </w:rPr>
        <w:t xml:space="preserve">will be </w:t>
      </w:r>
      <w:r w:rsidR="00E75D35" w:rsidRPr="30621045">
        <w:rPr>
          <w:rFonts w:eastAsia="Calibri"/>
          <w:sz w:val="24"/>
          <w:szCs w:val="24"/>
        </w:rPr>
        <w:t>awarded based on eligibility and availability</w:t>
      </w:r>
      <w:r w:rsidR="001C136F" w:rsidRPr="30621045">
        <w:rPr>
          <w:rFonts w:eastAsia="Calibri"/>
          <w:sz w:val="24"/>
          <w:szCs w:val="24"/>
        </w:rPr>
        <w:t xml:space="preserve"> </w:t>
      </w:r>
      <w:r w:rsidR="00625DC1" w:rsidRPr="30621045">
        <w:rPr>
          <w:rFonts w:eastAsia="Calibri"/>
          <w:sz w:val="24"/>
          <w:szCs w:val="24"/>
        </w:rPr>
        <w:t xml:space="preserve">of funds </w:t>
      </w:r>
      <w:r w:rsidR="001C136F" w:rsidRPr="30621045">
        <w:rPr>
          <w:rFonts w:eastAsia="Calibri"/>
          <w:sz w:val="24"/>
          <w:szCs w:val="24"/>
        </w:rPr>
        <w:t xml:space="preserve">and </w:t>
      </w:r>
      <w:r w:rsidR="0040771C" w:rsidRPr="30621045">
        <w:rPr>
          <w:rFonts w:eastAsia="Calibri"/>
          <w:sz w:val="24"/>
          <w:szCs w:val="24"/>
        </w:rPr>
        <w:t xml:space="preserve">as </w:t>
      </w:r>
      <w:r w:rsidR="00D837B7" w:rsidRPr="30621045">
        <w:rPr>
          <w:rFonts w:eastAsia="Calibri"/>
          <w:sz w:val="24"/>
          <w:szCs w:val="24"/>
        </w:rPr>
        <w:t xml:space="preserve">approved by the </w:t>
      </w:r>
      <w:r w:rsidR="00C96ACD" w:rsidRPr="30621045">
        <w:rPr>
          <w:rFonts w:eastAsia="Calibri"/>
          <w:sz w:val="24"/>
          <w:szCs w:val="24"/>
        </w:rPr>
        <w:t xml:space="preserve">DWS </w:t>
      </w:r>
      <w:r w:rsidR="00D837B7" w:rsidRPr="30621045">
        <w:rPr>
          <w:rFonts w:eastAsia="Calibri"/>
          <w:sz w:val="24"/>
          <w:szCs w:val="24"/>
        </w:rPr>
        <w:t>Assistant Secretary</w:t>
      </w:r>
      <w:r w:rsidR="007B44DD" w:rsidRPr="30621045">
        <w:rPr>
          <w:rFonts w:eastAsia="Calibri"/>
          <w:sz w:val="24"/>
          <w:szCs w:val="24"/>
        </w:rPr>
        <w:t xml:space="preserve"> of Workforce</w:t>
      </w:r>
      <w:r w:rsidR="64A8FBD3" w:rsidRPr="30621045">
        <w:rPr>
          <w:rFonts w:eastAsia="Calibri"/>
          <w:sz w:val="24"/>
          <w:szCs w:val="24"/>
        </w:rPr>
        <w:t xml:space="preserve"> Development</w:t>
      </w:r>
      <w:r w:rsidR="001A19E0" w:rsidRPr="30621045">
        <w:rPr>
          <w:rFonts w:eastAsia="Calibri"/>
          <w:sz w:val="24"/>
          <w:szCs w:val="24"/>
        </w:rPr>
        <w:t>.</w:t>
      </w:r>
      <w:r w:rsidR="00D837B7" w:rsidRPr="30621045">
        <w:rPr>
          <w:rFonts w:eastAsia="Calibri"/>
          <w:sz w:val="24"/>
          <w:szCs w:val="24"/>
        </w:rPr>
        <w:t xml:space="preserve">  </w:t>
      </w:r>
    </w:p>
    <w:p w14:paraId="257F6449" w14:textId="1DC402EB" w:rsidR="003A7399" w:rsidRDefault="003A7399" w:rsidP="00CC5177">
      <w:pPr>
        <w:autoSpaceDE w:val="0"/>
        <w:autoSpaceDN w:val="0"/>
        <w:adjustRightInd w:val="0"/>
        <w:jc w:val="center"/>
        <w:rPr>
          <w:rFonts w:eastAsia="Calibri"/>
          <w:sz w:val="24"/>
          <w:szCs w:val="24"/>
        </w:rPr>
      </w:pPr>
    </w:p>
    <w:p w14:paraId="03B0C0B9" w14:textId="2EDE3A65" w:rsidR="00126714" w:rsidRDefault="00126714" w:rsidP="00CC5177">
      <w:pPr>
        <w:autoSpaceDE w:val="0"/>
        <w:autoSpaceDN w:val="0"/>
        <w:adjustRightInd w:val="0"/>
        <w:jc w:val="center"/>
        <w:rPr>
          <w:rFonts w:eastAsia="Calibri"/>
          <w:sz w:val="24"/>
          <w:szCs w:val="24"/>
        </w:rPr>
      </w:pPr>
    </w:p>
    <w:p w14:paraId="1E730F95" w14:textId="3F298745" w:rsidR="00126714" w:rsidRDefault="00126714" w:rsidP="00CC5177">
      <w:pPr>
        <w:autoSpaceDE w:val="0"/>
        <w:autoSpaceDN w:val="0"/>
        <w:adjustRightInd w:val="0"/>
        <w:jc w:val="center"/>
        <w:rPr>
          <w:rFonts w:eastAsia="Calibri"/>
          <w:sz w:val="24"/>
          <w:szCs w:val="24"/>
        </w:rPr>
      </w:pPr>
    </w:p>
    <w:p w14:paraId="37372820" w14:textId="5A0B2718" w:rsidR="00126714" w:rsidRDefault="00126714" w:rsidP="00CC5177">
      <w:pPr>
        <w:autoSpaceDE w:val="0"/>
        <w:autoSpaceDN w:val="0"/>
        <w:adjustRightInd w:val="0"/>
        <w:jc w:val="center"/>
        <w:rPr>
          <w:rFonts w:eastAsia="Calibri"/>
          <w:sz w:val="24"/>
          <w:szCs w:val="24"/>
        </w:rPr>
      </w:pPr>
    </w:p>
    <w:p w14:paraId="78E7AAE4" w14:textId="6A93F199" w:rsidR="00126714" w:rsidRDefault="00126714" w:rsidP="00CC5177">
      <w:pPr>
        <w:autoSpaceDE w:val="0"/>
        <w:autoSpaceDN w:val="0"/>
        <w:adjustRightInd w:val="0"/>
        <w:jc w:val="center"/>
        <w:rPr>
          <w:rFonts w:eastAsia="Calibri"/>
          <w:sz w:val="24"/>
          <w:szCs w:val="24"/>
        </w:rPr>
      </w:pPr>
    </w:p>
    <w:p w14:paraId="72235128" w14:textId="77777777" w:rsidR="002D11F4" w:rsidRDefault="002D11F4" w:rsidP="00CC5177">
      <w:pPr>
        <w:autoSpaceDE w:val="0"/>
        <w:autoSpaceDN w:val="0"/>
        <w:adjustRightInd w:val="0"/>
        <w:jc w:val="center"/>
        <w:rPr>
          <w:rFonts w:eastAsia="Calibri"/>
          <w:sz w:val="24"/>
          <w:szCs w:val="24"/>
        </w:rPr>
      </w:pPr>
    </w:p>
    <w:p w14:paraId="768F6D32" w14:textId="53CF429F" w:rsidR="00DF0B39" w:rsidRDefault="00DF0B39" w:rsidP="00B54EE3">
      <w:pPr>
        <w:tabs>
          <w:tab w:val="left" w:pos="8545"/>
        </w:tabs>
        <w:autoSpaceDE w:val="0"/>
        <w:autoSpaceDN w:val="0"/>
        <w:adjustRightInd w:val="0"/>
        <w:rPr>
          <w:rFonts w:eastAsia="Calibri"/>
          <w:b/>
          <w:bCs/>
          <w:sz w:val="24"/>
          <w:szCs w:val="24"/>
        </w:rPr>
      </w:pPr>
    </w:p>
    <w:p w14:paraId="549126B6" w14:textId="77777777" w:rsidR="00D3379C" w:rsidRDefault="00D3379C" w:rsidP="00DF0B39">
      <w:pPr>
        <w:autoSpaceDE w:val="0"/>
        <w:autoSpaceDN w:val="0"/>
        <w:adjustRightInd w:val="0"/>
        <w:jc w:val="center"/>
        <w:rPr>
          <w:rFonts w:eastAsia="Calibri"/>
          <w:bCs/>
          <w:sz w:val="32"/>
          <w:szCs w:val="32"/>
        </w:rPr>
      </w:pPr>
    </w:p>
    <w:p w14:paraId="71563B97" w14:textId="77777777" w:rsidR="00D3379C" w:rsidRDefault="00D3379C" w:rsidP="00DF0B39">
      <w:pPr>
        <w:autoSpaceDE w:val="0"/>
        <w:autoSpaceDN w:val="0"/>
        <w:adjustRightInd w:val="0"/>
        <w:jc w:val="center"/>
        <w:rPr>
          <w:rFonts w:eastAsia="Calibri"/>
          <w:bCs/>
          <w:sz w:val="32"/>
          <w:szCs w:val="32"/>
        </w:rPr>
      </w:pPr>
    </w:p>
    <w:p w14:paraId="28962235" w14:textId="77777777" w:rsidR="00D3379C" w:rsidRDefault="00D3379C" w:rsidP="00DF0B39">
      <w:pPr>
        <w:autoSpaceDE w:val="0"/>
        <w:autoSpaceDN w:val="0"/>
        <w:adjustRightInd w:val="0"/>
        <w:jc w:val="center"/>
        <w:rPr>
          <w:rFonts w:eastAsia="Calibri"/>
          <w:bCs/>
          <w:sz w:val="32"/>
          <w:szCs w:val="32"/>
        </w:rPr>
      </w:pPr>
    </w:p>
    <w:p w14:paraId="3D248781" w14:textId="77777777" w:rsidR="00D3379C" w:rsidRDefault="00D3379C" w:rsidP="00DF0B39">
      <w:pPr>
        <w:autoSpaceDE w:val="0"/>
        <w:autoSpaceDN w:val="0"/>
        <w:adjustRightInd w:val="0"/>
        <w:jc w:val="center"/>
        <w:rPr>
          <w:rFonts w:eastAsia="Calibri"/>
          <w:bCs/>
          <w:sz w:val="32"/>
          <w:szCs w:val="32"/>
        </w:rPr>
      </w:pPr>
    </w:p>
    <w:p w14:paraId="3FFB80DB" w14:textId="77777777" w:rsidR="00D3379C" w:rsidRDefault="00D3379C" w:rsidP="00DF0B39">
      <w:pPr>
        <w:autoSpaceDE w:val="0"/>
        <w:autoSpaceDN w:val="0"/>
        <w:adjustRightInd w:val="0"/>
        <w:jc w:val="center"/>
        <w:rPr>
          <w:rFonts w:eastAsia="Calibri"/>
          <w:bCs/>
          <w:sz w:val="32"/>
          <w:szCs w:val="32"/>
        </w:rPr>
      </w:pPr>
    </w:p>
    <w:p w14:paraId="079A5007" w14:textId="77777777" w:rsidR="009915A0" w:rsidRDefault="009915A0" w:rsidP="30621045">
      <w:pPr>
        <w:autoSpaceDE w:val="0"/>
        <w:autoSpaceDN w:val="0"/>
        <w:adjustRightInd w:val="0"/>
        <w:jc w:val="center"/>
        <w:rPr>
          <w:rFonts w:eastAsia="Calibri"/>
          <w:sz w:val="32"/>
          <w:szCs w:val="32"/>
        </w:rPr>
      </w:pPr>
    </w:p>
    <w:p w14:paraId="1A29EFDE" w14:textId="73EFBC86" w:rsidR="00CC5177" w:rsidRDefault="00CC5177" w:rsidP="00DF0B39">
      <w:pPr>
        <w:autoSpaceDE w:val="0"/>
        <w:autoSpaceDN w:val="0"/>
        <w:adjustRightInd w:val="0"/>
        <w:jc w:val="center"/>
        <w:rPr>
          <w:rFonts w:eastAsia="Calibri"/>
          <w:bCs/>
          <w:sz w:val="32"/>
          <w:szCs w:val="32"/>
        </w:rPr>
      </w:pPr>
      <w:r w:rsidRPr="00794DC6">
        <w:rPr>
          <w:rFonts w:eastAsia="Calibri"/>
          <w:bCs/>
          <w:sz w:val="32"/>
          <w:szCs w:val="32"/>
        </w:rPr>
        <w:lastRenderedPageBreak/>
        <w:t>Introduction</w:t>
      </w:r>
    </w:p>
    <w:p w14:paraId="0C423FA8" w14:textId="77777777" w:rsidR="00E57A0C" w:rsidRPr="00794DC6" w:rsidRDefault="00E57A0C" w:rsidP="00DF0B39">
      <w:pPr>
        <w:autoSpaceDE w:val="0"/>
        <w:autoSpaceDN w:val="0"/>
        <w:adjustRightInd w:val="0"/>
        <w:jc w:val="center"/>
        <w:rPr>
          <w:rFonts w:eastAsia="Calibri"/>
          <w:bCs/>
          <w:sz w:val="32"/>
          <w:szCs w:val="32"/>
        </w:rPr>
      </w:pPr>
    </w:p>
    <w:bookmarkEnd w:id="14"/>
    <w:bookmarkEnd w:id="15"/>
    <w:p w14:paraId="2BBA2655" w14:textId="5D500700" w:rsidR="008C538B" w:rsidRPr="008C538B" w:rsidRDefault="008C538B" w:rsidP="002D11F4">
      <w:pPr>
        <w:spacing w:after="200"/>
        <w:jc w:val="both"/>
        <w:rPr>
          <w:color w:val="000000" w:themeColor="text1"/>
          <w:sz w:val="24"/>
          <w:szCs w:val="24"/>
        </w:rPr>
      </w:pPr>
      <w:r w:rsidRPr="008C538B">
        <w:rPr>
          <w:color w:val="000000" w:themeColor="text1"/>
          <w:sz w:val="24"/>
          <w:szCs w:val="24"/>
        </w:rPr>
        <w:t>As North Carolina continues to attract major economic development projects, the state’s ability to respond quickly with a qualified workforce remains critical. Employers relocating or expanding operations in North Carolina must be able to recruit and hire talent efficiently to ensure successful business startup and long-term viability.</w:t>
      </w:r>
    </w:p>
    <w:p w14:paraId="4EC38075" w14:textId="17042BC5" w:rsidR="00E36B26" w:rsidRDefault="00E36B26" w:rsidP="002D11F4">
      <w:pPr>
        <w:spacing w:after="200"/>
        <w:jc w:val="both"/>
        <w:rPr>
          <w:color w:val="000000" w:themeColor="text1"/>
          <w:sz w:val="24"/>
          <w:szCs w:val="24"/>
        </w:rPr>
      </w:pPr>
      <w:r w:rsidRPr="30621045">
        <w:rPr>
          <w:color w:val="000000" w:themeColor="text1"/>
          <w:sz w:val="24"/>
          <w:szCs w:val="24"/>
        </w:rPr>
        <w:t xml:space="preserve">Through the </w:t>
      </w:r>
      <w:r w:rsidRPr="30621045">
        <w:rPr>
          <w:b/>
          <w:bCs/>
          <w:color w:val="000000" w:themeColor="text1"/>
          <w:sz w:val="24"/>
          <w:szCs w:val="24"/>
        </w:rPr>
        <w:t xml:space="preserve">NC </w:t>
      </w:r>
      <w:r w:rsidR="24B09F08" w:rsidRPr="30621045">
        <w:rPr>
          <w:b/>
          <w:bCs/>
          <w:color w:val="000000" w:themeColor="text1"/>
          <w:sz w:val="24"/>
          <w:szCs w:val="24"/>
        </w:rPr>
        <w:t>Job Ready (NCJR)</w:t>
      </w:r>
      <w:r w:rsidRPr="30621045">
        <w:rPr>
          <w:b/>
          <w:bCs/>
          <w:color w:val="000000" w:themeColor="text1"/>
          <w:sz w:val="24"/>
          <w:szCs w:val="24"/>
        </w:rPr>
        <w:t xml:space="preserve"> initiative</w:t>
      </w:r>
      <w:r w:rsidRPr="30621045">
        <w:rPr>
          <w:color w:val="000000" w:themeColor="text1"/>
          <w:sz w:val="24"/>
          <w:szCs w:val="24"/>
        </w:rPr>
        <w:t>, Governor Josh Stein has prioritized deepening employer engagement and strengthening partnerships across the workforce system.</w:t>
      </w:r>
      <w:r w:rsidR="001D6A4F" w:rsidRPr="30621045">
        <w:rPr>
          <w:color w:val="000000" w:themeColor="text1"/>
          <w:sz w:val="24"/>
          <w:szCs w:val="24"/>
        </w:rPr>
        <w:t xml:space="preserve">  </w:t>
      </w:r>
      <w:r w:rsidRPr="30621045">
        <w:rPr>
          <w:color w:val="000000" w:themeColor="text1"/>
          <w:sz w:val="24"/>
          <w:szCs w:val="24"/>
        </w:rPr>
        <w:t xml:space="preserve">This includes engaging tens of thousands of employers to help meet shared workforce goals and fostering coordinated strategies between workforce boards, education providers, and industry to respond to real-time hiring needs. The </w:t>
      </w:r>
      <w:r w:rsidR="009915A0" w:rsidRPr="30621045">
        <w:rPr>
          <w:color w:val="000000" w:themeColor="text1"/>
          <w:sz w:val="24"/>
          <w:szCs w:val="24"/>
        </w:rPr>
        <w:t>NC Job</w:t>
      </w:r>
      <w:r w:rsidR="3C371C74" w:rsidRPr="30621045">
        <w:rPr>
          <w:color w:val="000000" w:themeColor="text1"/>
          <w:sz w:val="24"/>
          <w:szCs w:val="24"/>
        </w:rPr>
        <w:t xml:space="preserve"> Ready</w:t>
      </w:r>
      <w:r w:rsidRPr="30621045">
        <w:rPr>
          <w:color w:val="000000" w:themeColor="text1"/>
          <w:sz w:val="24"/>
          <w:szCs w:val="24"/>
        </w:rPr>
        <w:t xml:space="preserve"> Grant supports this mission by helping </w:t>
      </w:r>
      <w:r w:rsidR="02DAAEC8" w:rsidRPr="30621045">
        <w:rPr>
          <w:color w:val="000000" w:themeColor="text1"/>
          <w:sz w:val="24"/>
          <w:szCs w:val="24"/>
        </w:rPr>
        <w:t>WDBs</w:t>
      </w:r>
      <w:r w:rsidRPr="30621045">
        <w:rPr>
          <w:color w:val="000000" w:themeColor="text1"/>
          <w:sz w:val="24"/>
          <w:szCs w:val="24"/>
        </w:rPr>
        <w:t xml:space="preserve"> provide immediate, recruitment-focused solutions to businesses as they establish or expand operations in North Carolina.</w:t>
      </w:r>
    </w:p>
    <w:p w14:paraId="3B07BC47" w14:textId="771F051F" w:rsidR="00C71B24" w:rsidRDefault="00C71B24" w:rsidP="002D11F4">
      <w:pPr>
        <w:spacing w:after="200"/>
        <w:jc w:val="both"/>
        <w:rPr>
          <w:color w:val="000000" w:themeColor="text1"/>
          <w:sz w:val="24"/>
          <w:szCs w:val="24"/>
        </w:rPr>
      </w:pPr>
      <w:r w:rsidRPr="30621045">
        <w:rPr>
          <w:color w:val="000000" w:themeColor="text1"/>
          <w:sz w:val="24"/>
          <w:szCs w:val="24"/>
        </w:rPr>
        <w:t xml:space="preserve">This </w:t>
      </w:r>
      <w:r w:rsidR="00E80DF8" w:rsidRPr="30621045">
        <w:rPr>
          <w:color w:val="000000" w:themeColor="text1"/>
          <w:sz w:val="24"/>
          <w:szCs w:val="24"/>
        </w:rPr>
        <w:t>adjustment amends</w:t>
      </w:r>
      <w:r w:rsidR="132A718D" w:rsidRPr="30621045">
        <w:rPr>
          <w:color w:val="000000" w:themeColor="text1"/>
          <w:sz w:val="24"/>
          <w:szCs w:val="24"/>
        </w:rPr>
        <w:t xml:space="preserve"> </w:t>
      </w:r>
      <w:r w:rsidRPr="30621045">
        <w:rPr>
          <w:color w:val="000000" w:themeColor="text1"/>
          <w:sz w:val="24"/>
          <w:szCs w:val="24"/>
        </w:rPr>
        <w:t>the previously administered</w:t>
      </w:r>
      <w:r w:rsidRPr="30621045">
        <w:rPr>
          <w:b/>
          <w:bCs/>
          <w:color w:val="000000" w:themeColor="text1"/>
          <w:sz w:val="24"/>
          <w:szCs w:val="24"/>
        </w:rPr>
        <w:t xml:space="preserve"> </w:t>
      </w:r>
      <w:r w:rsidRPr="30621045">
        <w:rPr>
          <w:color w:val="000000" w:themeColor="text1"/>
          <w:sz w:val="24"/>
          <w:szCs w:val="24"/>
        </w:rPr>
        <w:t>NC Job Ready (NCJR)</w:t>
      </w:r>
      <w:r w:rsidRPr="30621045">
        <w:rPr>
          <w:b/>
          <w:bCs/>
          <w:color w:val="000000" w:themeColor="text1"/>
          <w:sz w:val="24"/>
          <w:szCs w:val="24"/>
        </w:rPr>
        <w:t xml:space="preserve"> </w:t>
      </w:r>
      <w:r w:rsidRPr="30621045">
        <w:rPr>
          <w:color w:val="000000" w:themeColor="text1"/>
          <w:sz w:val="24"/>
          <w:szCs w:val="24"/>
        </w:rPr>
        <w:t>Workforce Investment Grant. Local Area WDBs that received NCJR awards for approved economic development projects but have not yet drawn down those funds will be grandfathered into the</w:t>
      </w:r>
      <w:r w:rsidR="54FD37B4" w:rsidRPr="30621045">
        <w:rPr>
          <w:color w:val="000000" w:themeColor="text1"/>
          <w:sz w:val="24"/>
          <w:szCs w:val="24"/>
        </w:rPr>
        <w:t xml:space="preserve"> new</w:t>
      </w:r>
      <w:r w:rsidRPr="30621045">
        <w:rPr>
          <w:color w:val="000000" w:themeColor="text1"/>
          <w:sz w:val="24"/>
          <w:szCs w:val="24"/>
        </w:rPr>
        <w:t xml:space="preserve"> program, retaining the same award amount as previously approved.</w:t>
      </w:r>
    </w:p>
    <w:p w14:paraId="5B0DAE1D" w14:textId="7858A2D1" w:rsidR="008C538B" w:rsidRPr="008C538B" w:rsidRDefault="008C538B" w:rsidP="002D11F4">
      <w:pPr>
        <w:spacing w:after="200"/>
        <w:jc w:val="both"/>
        <w:rPr>
          <w:color w:val="000000" w:themeColor="text1"/>
          <w:sz w:val="24"/>
          <w:szCs w:val="24"/>
        </w:rPr>
      </w:pPr>
      <w:r w:rsidRPr="30621045">
        <w:rPr>
          <w:color w:val="000000" w:themeColor="text1"/>
          <w:sz w:val="24"/>
          <w:szCs w:val="24"/>
        </w:rPr>
        <w:t xml:space="preserve">The NC </w:t>
      </w:r>
      <w:r w:rsidR="228B2790" w:rsidRPr="30621045">
        <w:rPr>
          <w:color w:val="000000" w:themeColor="text1"/>
          <w:sz w:val="24"/>
          <w:szCs w:val="24"/>
        </w:rPr>
        <w:t xml:space="preserve">Job Ready </w:t>
      </w:r>
      <w:r w:rsidRPr="30621045">
        <w:rPr>
          <w:color w:val="000000" w:themeColor="text1"/>
          <w:sz w:val="24"/>
          <w:szCs w:val="24"/>
        </w:rPr>
        <w:t xml:space="preserve">Grant directly supports this vision by providing funding to WDBs to assist with recruitment-related activities tied to state-supported economic development projects. In partnership with the NC Department of Commerce, </w:t>
      </w:r>
      <w:r w:rsidR="008B1155" w:rsidRPr="30621045">
        <w:rPr>
          <w:color w:val="000000" w:themeColor="text1"/>
          <w:sz w:val="24"/>
          <w:szCs w:val="24"/>
        </w:rPr>
        <w:t>Economic Development Partnership of North Carolina (</w:t>
      </w:r>
      <w:r w:rsidRPr="30621045">
        <w:rPr>
          <w:color w:val="000000" w:themeColor="text1"/>
          <w:sz w:val="24"/>
          <w:szCs w:val="24"/>
        </w:rPr>
        <w:t>EDPNC</w:t>
      </w:r>
      <w:r w:rsidR="008B1155" w:rsidRPr="30621045">
        <w:rPr>
          <w:color w:val="000000" w:themeColor="text1"/>
          <w:sz w:val="24"/>
          <w:szCs w:val="24"/>
        </w:rPr>
        <w:t>)</w:t>
      </w:r>
      <w:r w:rsidRPr="30621045">
        <w:rPr>
          <w:color w:val="000000" w:themeColor="text1"/>
          <w:sz w:val="24"/>
          <w:szCs w:val="24"/>
        </w:rPr>
        <w:t>, and local economic developers, WDBs may use these funds to help new or expanding employers with targeted recruitment, hiring, onboarding, and talent engagement strategies.</w:t>
      </w:r>
    </w:p>
    <w:p w14:paraId="36DD659A" w14:textId="77777777" w:rsidR="008C538B" w:rsidRPr="008C538B" w:rsidRDefault="008C538B" w:rsidP="008C538B">
      <w:pPr>
        <w:spacing w:after="200"/>
        <w:rPr>
          <w:color w:val="000000" w:themeColor="text1"/>
          <w:sz w:val="24"/>
          <w:szCs w:val="24"/>
        </w:rPr>
      </w:pPr>
      <w:r w:rsidRPr="7298903F">
        <w:rPr>
          <w:color w:val="000000" w:themeColor="text1"/>
          <w:sz w:val="24"/>
          <w:szCs w:val="24"/>
        </w:rPr>
        <w:t>Allowable uses of the grant may include:</w:t>
      </w:r>
    </w:p>
    <w:p w14:paraId="7EC90820" w14:textId="453CA46A" w:rsidR="26C3B7ED" w:rsidRDefault="26C3B7ED" w:rsidP="00E80DF8">
      <w:pPr>
        <w:pStyle w:val="ListParagraph"/>
        <w:numPr>
          <w:ilvl w:val="0"/>
          <w:numId w:val="1"/>
        </w:numPr>
        <w:jc w:val="both"/>
        <w:rPr>
          <w:color w:val="000000" w:themeColor="text1"/>
        </w:rPr>
      </w:pPr>
      <w:r w:rsidRPr="7298903F">
        <w:rPr>
          <w:rFonts w:ascii="Times New Roman" w:eastAsia="Times New Roman" w:hAnsi="Times New Roman" w:cs="Times New Roman"/>
          <w:b/>
          <w:bCs/>
          <w:color w:val="000000" w:themeColor="text1"/>
        </w:rPr>
        <w:t xml:space="preserve">Recruitment and Talent Attraction Efforts, </w:t>
      </w:r>
      <w:r w:rsidRPr="7298903F">
        <w:rPr>
          <w:rFonts w:ascii="Times New Roman" w:eastAsia="Times New Roman" w:hAnsi="Times New Roman" w:cs="Times New Roman"/>
          <w:color w:val="000000" w:themeColor="text1"/>
        </w:rPr>
        <w:t>including job fairs, digital outreach, and candidate sourcing initiatives.</w:t>
      </w:r>
    </w:p>
    <w:p w14:paraId="6CDDD570" w14:textId="4D68DEA7" w:rsidR="26C3B7ED" w:rsidRDefault="26C3B7ED" w:rsidP="00E80DF8">
      <w:pPr>
        <w:pStyle w:val="ListParagraph"/>
        <w:numPr>
          <w:ilvl w:val="0"/>
          <w:numId w:val="1"/>
        </w:numPr>
        <w:jc w:val="both"/>
        <w:rPr>
          <w:color w:val="000000" w:themeColor="text1"/>
        </w:rPr>
      </w:pPr>
      <w:r w:rsidRPr="7298903F">
        <w:rPr>
          <w:rFonts w:ascii="Times New Roman" w:eastAsia="Times New Roman" w:hAnsi="Times New Roman" w:cs="Times New Roman"/>
          <w:b/>
          <w:bCs/>
          <w:color w:val="000000" w:themeColor="text1"/>
        </w:rPr>
        <w:t xml:space="preserve"> Hiring and Screening Support,</w:t>
      </w:r>
      <w:r w:rsidRPr="7298903F">
        <w:rPr>
          <w:rFonts w:ascii="Times New Roman" w:eastAsia="Times New Roman" w:hAnsi="Times New Roman" w:cs="Times New Roman"/>
          <w:color w:val="000000" w:themeColor="text1"/>
        </w:rPr>
        <w:t xml:space="preserve"> such as pre-employment assessments, onboarding facilitation, and coordination of interviews or hiring events.</w:t>
      </w:r>
    </w:p>
    <w:p w14:paraId="141F7AFF" w14:textId="50104F5A" w:rsidR="26C3B7ED" w:rsidRPr="00E80DF8" w:rsidRDefault="26C3B7ED">
      <w:pPr>
        <w:pStyle w:val="ListParagraph"/>
        <w:numPr>
          <w:ilvl w:val="0"/>
          <w:numId w:val="1"/>
        </w:numPr>
        <w:jc w:val="both"/>
        <w:rPr>
          <w:color w:val="000000" w:themeColor="text1"/>
        </w:rPr>
      </w:pPr>
      <w:r w:rsidRPr="30621045">
        <w:rPr>
          <w:rFonts w:ascii="Times New Roman" w:eastAsia="Times New Roman" w:hAnsi="Times New Roman" w:cs="Times New Roman"/>
          <w:b/>
          <w:bCs/>
          <w:color w:val="000000" w:themeColor="text1"/>
        </w:rPr>
        <w:t xml:space="preserve"> Talent Pipeline Development,</w:t>
      </w:r>
      <w:r w:rsidRPr="30621045">
        <w:rPr>
          <w:rFonts w:ascii="Times New Roman" w:eastAsia="Times New Roman" w:hAnsi="Times New Roman" w:cs="Times New Roman"/>
          <w:color w:val="000000" w:themeColor="text1"/>
        </w:rPr>
        <w:t xml:space="preserve"> including engagement in sector partnerships or development of employer-led career pathways in targeted industries.</w:t>
      </w:r>
    </w:p>
    <w:p w14:paraId="7DC0770E" w14:textId="14757A10" w:rsidR="00222856" w:rsidRPr="00E80DF8" w:rsidRDefault="00222856">
      <w:pPr>
        <w:pStyle w:val="ListParagraph"/>
        <w:numPr>
          <w:ilvl w:val="0"/>
          <w:numId w:val="1"/>
        </w:numPr>
        <w:jc w:val="both"/>
        <w:rPr>
          <w:color w:val="000000" w:themeColor="text1"/>
        </w:rPr>
      </w:pPr>
      <w:r>
        <w:rPr>
          <w:rFonts w:ascii="Times New Roman" w:eastAsia="Times New Roman" w:hAnsi="Times New Roman" w:cs="Times New Roman"/>
          <w:b/>
          <w:bCs/>
          <w:color w:val="000000" w:themeColor="text1"/>
        </w:rPr>
        <w:t xml:space="preserve">Work-Based Learning Activities, </w:t>
      </w:r>
      <w:r w:rsidRPr="00E80DF8">
        <w:rPr>
          <w:rFonts w:ascii="Times New Roman" w:eastAsia="Times New Roman" w:hAnsi="Times New Roman" w:cs="Times New Roman"/>
          <w:color w:val="000000" w:themeColor="text1"/>
        </w:rPr>
        <w:t>including</w:t>
      </w:r>
      <w:r>
        <w:rPr>
          <w:rFonts w:ascii="Times New Roman" w:eastAsia="Times New Roman" w:hAnsi="Times New Roman" w:cs="Times New Roman"/>
          <w:b/>
          <w:bCs/>
          <w:color w:val="000000" w:themeColor="text1"/>
        </w:rPr>
        <w:t xml:space="preserve"> On-the-Job Training (OJT) </w:t>
      </w:r>
      <w:r w:rsidRPr="00E80DF8">
        <w:rPr>
          <w:rFonts w:ascii="Times New Roman" w:eastAsia="Times New Roman" w:hAnsi="Times New Roman" w:cs="Times New Roman"/>
          <w:color w:val="000000" w:themeColor="text1"/>
        </w:rPr>
        <w:t>and</w:t>
      </w:r>
      <w:r>
        <w:rPr>
          <w:rFonts w:ascii="Times New Roman" w:eastAsia="Times New Roman" w:hAnsi="Times New Roman" w:cs="Times New Roman"/>
          <w:b/>
          <w:bCs/>
          <w:color w:val="000000" w:themeColor="text1"/>
        </w:rPr>
        <w:t xml:space="preserve"> Incumbent Worker Training (IWT</w:t>
      </w:r>
      <w:r w:rsidRPr="00E80DF8">
        <w:rPr>
          <w:rFonts w:ascii="Times New Roman" w:eastAsia="Times New Roman" w:hAnsi="Times New Roman" w:cs="Times New Roman"/>
          <w:color w:val="000000" w:themeColor="text1"/>
        </w:rPr>
        <w:t>) remain allowable uses of NJR funds, though they are not the primary focus of this initiative.</w:t>
      </w:r>
    </w:p>
    <w:p w14:paraId="488B22F6" w14:textId="6E17EBD3" w:rsidR="000418E1" w:rsidRDefault="008C538B" w:rsidP="00E80DF8">
      <w:pPr>
        <w:spacing w:after="200"/>
        <w:jc w:val="both"/>
        <w:rPr>
          <w:b/>
          <w:sz w:val="24"/>
          <w:szCs w:val="24"/>
        </w:rPr>
      </w:pPr>
      <w:r w:rsidRPr="7298903F">
        <w:rPr>
          <w:color w:val="000000" w:themeColor="text1"/>
          <w:sz w:val="24"/>
          <w:szCs w:val="24"/>
        </w:rPr>
        <w:t>Award amounts are determined by the DWS based on factors such as availability of funds,</w:t>
      </w:r>
      <w:r w:rsidR="0F533EF0" w:rsidRPr="7298903F">
        <w:rPr>
          <w:color w:val="000000" w:themeColor="text1"/>
          <w:sz w:val="24"/>
          <w:szCs w:val="24"/>
        </w:rPr>
        <w:t xml:space="preserve"> county tier,</w:t>
      </w:r>
      <w:r w:rsidRPr="7298903F">
        <w:rPr>
          <w:color w:val="000000" w:themeColor="text1"/>
          <w:sz w:val="24"/>
          <w:szCs w:val="24"/>
        </w:rPr>
        <w:t xml:space="preserve"> capital investment, net job growth, and WIOA compliance.</w:t>
      </w:r>
      <w:r w:rsidR="001D6A4F" w:rsidRPr="7298903F">
        <w:rPr>
          <w:color w:val="000000" w:themeColor="text1"/>
          <w:sz w:val="24"/>
          <w:szCs w:val="24"/>
        </w:rPr>
        <w:t xml:space="preserve">  </w:t>
      </w:r>
      <w:r w:rsidRPr="7298903F">
        <w:rPr>
          <w:color w:val="000000" w:themeColor="text1"/>
          <w:sz w:val="24"/>
          <w:szCs w:val="24"/>
        </w:rPr>
        <w:t xml:space="preserve">Local WDBs serve as grant administrators and are responsible for required program and fiscal reporting. Additional incentives such as the Work Opportunity Tax Credit (WOTC) and Federal Bonding may be offered and will be outlined in a formal support letter issued by </w:t>
      </w:r>
      <w:r w:rsidR="69962122" w:rsidRPr="7298903F">
        <w:rPr>
          <w:color w:val="000000" w:themeColor="text1"/>
          <w:sz w:val="24"/>
          <w:szCs w:val="24"/>
        </w:rPr>
        <w:t xml:space="preserve">the </w:t>
      </w:r>
      <w:r w:rsidRPr="7298903F">
        <w:rPr>
          <w:color w:val="000000" w:themeColor="text1"/>
          <w:sz w:val="24"/>
          <w:szCs w:val="24"/>
        </w:rPr>
        <w:t xml:space="preserve">DWS to the project’s designated economic development lead. </w:t>
      </w:r>
      <w:r w:rsidR="001D6A4F" w:rsidRPr="7298903F">
        <w:rPr>
          <w:color w:val="000000" w:themeColor="text1"/>
          <w:sz w:val="24"/>
          <w:szCs w:val="24"/>
        </w:rPr>
        <w:t xml:space="preserve"> </w:t>
      </w:r>
      <w:r w:rsidRPr="7298903F">
        <w:rPr>
          <w:color w:val="000000" w:themeColor="text1"/>
          <w:sz w:val="24"/>
          <w:szCs w:val="24"/>
        </w:rPr>
        <w:t>Each project must demonstrate a capital investment that exceeds the awarded grant amount. Grants are contingent upon funding availability and</w:t>
      </w:r>
      <w:r w:rsidR="017515DF" w:rsidRPr="7298903F">
        <w:rPr>
          <w:color w:val="000000" w:themeColor="text1"/>
          <w:sz w:val="24"/>
          <w:szCs w:val="24"/>
        </w:rPr>
        <w:t xml:space="preserve"> the</w:t>
      </w:r>
      <w:r w:rsidRPr="7298903F">
        <w:rPr>
          <w:color w:val="000000" w:themeColor="text1"/>
          <w:sz w:val="24"/>
          <w:szCs w:val="24"/>
        </w:rPr>
        <w:t xml:space="preserve"> DWS reserves the right to update guidance as needed.</w:t>
      </w:r>
    </w:p>
    <w:p w14:paraId="1CC912B5" w14:textId="7E71BCA9" w:rsidR="000F4D2E" w:rsidRPr="00794DC6" w:rsidRDefault="000418E1" w:rsidP="00E57A0C">
      <w:pPr>
        <w:spacing w:after="160" w:line="259" w:lineRule="auto"/>
        <w:jc w:val="center"/>
        <w:rPr>
          <w:b/>
          <w:sz w:val="32"/>
          <w:szCs w:val="32"/>
        </w:rPr>
      </w:pPr>
      <w:r>
        <w:rPr>
          <w:b/>
          <w:sz w:val="24"/>
          <w:szCs w:val="24"/>
        </w:rPr>
        <w:br w:type="page"/>
      </w:r>
      <w:bookmarkStart w:id="16" w:name="SignaturePage"/>
      <w:bookmarkStart w:id="17" w:name="Application"/>
      <w:r w:rsidR="000F4D2E" w:rsidRPr="00794DC6">
        <w:rPr>
          <w:b/>
          <w:sz w:val="32"/>
          <w:szCs w:val="32"/>
        </w:rPr>
        <w:lastRenderedPageBreak/>
        <w:t>APPLICATION</w:t>
      </w:r>
      <w:bookmarkEnd w:id="0"/>
      <w:bookmarkEnd w:id="1"/>
      <w:bookmarkEnd w:id="2"/>
      <w:bookmarkEnd w:id="3"/>
    </w:p>
    <w:bookmarkEnd w:id="16"/>
    <w:bookmarkEnd w:id="17"/>
    <w:p w14:paraId="68DF6D56" w14:textId="77777777" w:rsidR="000F4D2E" w:rsidRPr="009C6EED" w:rsidRDefault="000F4D2E" w:rsidP="000F4D2E">
      <w:pPr>
        <w:pStyle w:val="NormalWeb"/>
        <w:spacing w:before="0" w:beforeAutospacing="0" w:after="0" w:afterAutospacing="0"/>
        <w:rPr>
          <w:b/>
        </w:rPr>
      </w:pPr>
    </w:p>
    <w:p w14:paraId="5BCA8198" w14:textId="77777777" w:rsidR="002D11F4" w:rsidRDefault="006F1F59" w:rsidP="00BB5FA2">
      <w:pPr>
        <w:pStyle w:val="NormalWeb"/>
        <w:spacing w:before="0" w:beforeAutospacing="0" w:after="0" w:afterAutospacing="0"/>
        <w:jc w:val="both"/>
        <w:rPr>
          <w:b/>
        </w:rPr>
      </w:pPr>
      <w:r w:rsidRPr="009C6EED">
        <w:rPr>
          <w:b/>
        </w:rPr>
        <w:t>Section I.  Grant Narrative:</w:t>
      </w:r>
      <w:r w:rsidR="009C680E">
        <w:rPr>
          <w:b/>
        </w:rPr>
        <w:t xml:space="preserve"> </w:t>
      </w:r>
    </w:p>
    <w:p w14:paraId="14172C22" w14:textId="77777777" w:rsidR="002D11F4" w:rsidRDefault="002D11F4" w:rsidP="00BB5FA2">
      <w:pPr>
        <w:pStyle w:val="NormalWeb"/>
        <w:spacing w:before="0" w:beforeAutospacing="0" w:after="0" w:afterAutospacing="0"/>
        <w:jc w:val="both"/>
        <w:rPr>
          <w:b/>
        </w:rPr>
      </w:pPr>
    </w:p>
    <w:p w14:paraId="39583132" w14:textId="6F618F33" w:rsidR="006F1F59" w:rsidRPr="009C6EED" w:rsidRDefault="009C680E" w:rsidP="30621045">
      <w:pPr>
        <w:pStyle w:val="NormalWeb"/>
        <w:spacing w:before="0" w:beforeAutospacing="0" w:after="0" w:afterAutospacing="0"/>
        <w:jc w:val="both"/>
      </w:pPr>
      <w:r>
        <w:t>The narrative portion of the application should not exceed two (2) pages in a font of 12 point or higher, with 1</w:t>
      </w:r>
      <w:r w:rsidR="006579BB">
        <w:t>”</w:t>
      </w:r>
      <w:r>
        <w:t xml:space="preserve"> margins, and 1.5 line spacing.  Grants must be expended within</w:t>
      </w:r>
      <w:r w:rsidR="008E380D">
        <w:t xml:space="preserve"> </w:t>
      </w:r>
      <w:r w:rsidR="002B7BF8">
        <w:t>18</w:t>
      </w:r>
      <w:r>
        <w:t xml:space="preserve"> months of receipt</w:t>
      </w:r>
      <w:r w:rsidR="005C1E44">
        <w:t xml:space="preserve"> of the Notice of Funding Availability</w:t>
      </w:r>
      <w:r w:rsidR="007D358E">
        <w:t xml:space="preserve"> and WDBs are responsible for returning unexpended funds on the </w:t>
      </w:r>
      <w:r w:rsidR="001429B7">
        <w:t>approved project</w:t>
      </w:r>
      <w:r w:rsidR="685C4EAD">
        <w:t xml:space="preserve"> </w:t>
      </w:r>
      <w:r w:rsidR="7D3011AB">
        <w:t xml:space="preserve">within 30 days of </w:t>
      </w:r>
      <w:r w:rsidR="00784C7B">
        <w:t xml:space="preserve">the end of the 18 months or </w:t>
      </w:r>
      <w:r w:rsidR="7D3011AB">
        <w:t>grant termination notice</w:t>
      </w:r>
      <w:r w:rsidR="00784C7B">
        <w:t>, if earlier</w:t>
      </w:r>
      <w:r w:rsidR="7D3011AB">
        <w:t xml:space="preserve">. </w:t>
      </w:r>
    </w:p>
    <w:p w14:paraId="07640F21" w14:textId="77777777" w:rsidR="006F1F59" w:rsidRPr="009C6EED" w:rsidRDefault="006F1F59" w:rsidP="00BB5FA2">
      <w:pPr>
        <w:pStyle w:val="Header"/>
        <w:jc w:val="both"/>
        <w:rPr>
          <w:sz w:val="24"/>
          <w:szCs w:val="24"/>
        </w:rPr>
      </w:pPr>
    </w:p>
    <w:p w14:paraId="21A14323" w14:textId="34996092" w:rsidR="00625DC1" w:rsidRDefault="006F1F59" w:rsidP="006F1F59">
      <w:pPr>
        <w:pStyle w:val="Header"/>
        <w:jc w:val="both"/>
        <w:rPr>
          <w:sz w:val="24"/>
          <w:szCs w:val="24"/>
        </w:rPr>
      </w:pPr>
      <w:r w:rsidRPr="5C746DE3">
        <w:rPr>
          <w:sz w:val="24"/>
          <w:szCs w:val="24"/>
        </w:rPr>
        <w:t xml:space="preserve">The narrative should demonstrate the need for the grant funds as it relates to </w:t>
      </w:r>
      <w:r w:rsidRPr="5C746DE3">
        <w:rPr>
          <w:color w:val="000000" w:themeColor="text1"/>
          <w:sz w:val="24"/>
          <w:szCs w:val="24"/>
        </w:rPr>
        <w:t>WDBs supporting local and regional economic development projects</w:t>
      </w:r>
      <w:r w:rsidR="009736CE" w:rsidRPr="5C746DE3">
        <w:rPr>
          <w:color w:val="000000" w:themeColor="text1"/>
          <w:sz w:val="24"/>
          <w:szCs w:val="24"/>
        </w:rPr>
        <w:t>.</w:t>
      </w:r>
      <w:r w:rsidR="001D6A4F" w:rsidRPr="5C746DE3">
        <w:rPr>
          <w:color w:val="000000" w:themeColor="text1"/>
          <w:sz w:val="24"/>
          <w:szCs w:val="24"/>
        </w:rPr>
        <w:t xml:space="preserve">  </w:t>
      </w:r>
      <w:r w:rsidRPr="5C746DE3">
        <w:rPr>
          <w:color w:val="000000" w:themeColor="text1"/>
          <w:sz w:val="24"/>
          <w:szCs w:val="24"/>
        </w:rPr>
        <w:t xml:space="preserve">The grants are intended to </w:t>
      </w:r>
      <w:r w:rsidR="009778B7" w:rsidRPr="5C746DE3">
        <w:rPr>
          <w:color w:val="000000" w:themeColor="text1"/>
          <w:sz w:val="24"/>
          <w:szCs w:val="24"/>
        </w:rPr>
        <w:t>a</w:t>
      </w:r>
      <w:r w:rsidR="003273BE" w:rsidRPr="5C746DE3">
        <w:rPr>
          <w:color w:val="000000" w:themeColor="text1"/>
          <w:sz w:val="24"/>
          <w:szCs w:val="24"/>
        </w:rPr>
        <w:t>d</w:t>
      </w:r>
      <w:r w:rsidR="009778B7" w:rsidRPr="5C746DE3">
        <w:rPr>
          <w:color w:val="000000" w:themeColor="text1"/>
          <w:sz w:val="24"/>
          <w:szCs w:val="24"/>
        </w:rPr>
        <w:t>dress</w:t>
      </w:r>
      <w:r w:rsidRPr="5C746DE3">
        <w:rPr>
          <w:color w:val="000000" w:themeColor="text1"/>
          <w:sz w:val="24"/>
          <w:szCs w:val="24"/>
        </w:rPr>
        <w:t xml:space="preserve"> common </w:t>
      </w:r>
      <w:r w:rsidR="00B75319" w:rsidRPr="5C746DE3">
        <w:rPr>
          <w:color w:val="000000" w:themeColor="text1"/>
          <w:sz w:val="24"/>
          <w:szCs w:val="24"/>
        </w:rPr>
        <w:t>talent recruitment</w:t>
      </w:r>
      <w:r w:rsidRPr="5C746DE3">
        <w:rPr>
          <w:color w:val="000000" w:themeColor="text1"/>
          <w:sz w:val="24"/>
          <w:szCs w:val="24"/>
        </w:rPr>
        <w:t xml:space="preserve"> challenges that employers face related to skills gaps or workforce shortages and to show further commitment to employers who are investing in North Carolina by moving to or expanding within the state.</w:t>
      </w:r>
      <w:r w:rsidRPr="5C746DE3">
        <w:rPr>
          <w:sz w:val="24"/>
          <w:szCs w:val="24"/>
        </w:rPr>
        <w:t xml:space="preserve">  </w:t>
      </w:r>
      <w:r w:rsidR="68B400C0" w:rsidRPr="5C746DE3">
        <w:rPr>
          <w:sz w:val="24"/>
          <w:szCs w:val="24"/>
        </w:rPr>
        <w:t>Local WDBs are encouraged to partner with each other to serve employers that may recruit from multi-board regions.</w:t>
      </w:r>
    </w:p>
    <w:p w14:paraId="12007BC8" w14:textId="77777777" w:rsidR="00625DC1" w:rsidRDefault="00625DC1" w:rsidP="006F1F59">
      <w:pPr>
        <w:pStyle w:val="Header"/>
        <w:jc w:val="both"/>
        <w:rPr>
          <w:sz w:val="24"/>
          <w:szCs w:val="24"/>
        </w:rPr>
      </w:pPr>
    </w:p>
    <w:p w14:paraId="24A50ECD" w14:textId="0A4EC86E" w:rsidR="006F1F59" w:rsidRPr="00274606" w:rsidRDefault="006F1F59" w:rsidP="006F1F59">
      <w:pPr>
        <w:pStyle w:val="Header"/>
        <w:jc w:val="both"/>
        <w:rPr>
          <w:sz w:val="24"/>
          <w:szCs w:val="24"/>
        </w:rPr>
      </w:pPr>
      <w:r w:rsidRPr="006074B9">
        <w:rPr>
          <w:sz w:val="24"/>
          <w:szCs w:val="24"/>
        </w:rPr>
        <w:t xml:space="preserve">Narratives </w:t>
      </w:r>
      <w:r w:rsidR="00625DC1" w:rsidRPr="006074B9">
        <w:rPr>
          <w:sz w:val="24"/>
          <w:szCs w:val="24"/>
        </w:rPr>
        <w:t xml:space="preserve">shall </w:t>
      </w:r>
      <w:r w:rsidRPr="006074B9">
        <w:rPr>
          <w:sz w:val="24"/>
          <w:szCs w:val="24"/>
        </w:rPr>
        <w:t xml:space="preserve">detail </w:t>
      </w:r>
      <w:r w:rsidR="008E380D" w:rsidRPr="006074B9">
        <w:rPr>
          <w:sz w:val="24"/>
          <w:szCs w:val="24"/>
        </w:rPr>
        <w:t>recruitment strategies,</w:t>
      </w:r>
      <w:r w:rsidRPr="006074B9">
        <w:rPr>
          <w:sz w:val="24"/>
          <w:szCs w:val="24"/>
        </w:rPr>
        <w:t xml:space="preserve"> how grant funds </w:t>
      </w:r>
      <w:r w:rsidR="004D5586" w:rsidRPr="006074B9">
        <w:rPr>
          <w:sz w:val="24"/>
          <w:szCs w:val="24"/>
        </w:rPr>
        <w:t>will be used to implement</w:t>
      </w:r>
      <w:r w:rsidRPr="006074B9">
        <w:rPr>
          <w:sz w:val="24"/>
          <w:szCs w:val="24"/>
        </w:rPr>
        <w:t xml:space="preserve"> </w:t>
      </w:r>
      <w:r w:rsidR="00E57A0C">
        <w:rPr>
          <w:sz w:val="24"/>
          <w:szCs w:val="24"/>
        </w:rPr>
        <w:t xml:space="preserve">recruiting efforts and/or </w:t>
      </w:r>
      <w:r w:rsidR="001D6A4F" w:rsidRPr="006074B9">
        <w:rPr>
          <w:sz w:val="24"/>
          <w:szCs w:val="24"/>
        </w:rPr>
        <w:t>training and</w:t>
      </w:r>
      <w:r w:rsidR="008E380D" w:rsidRPr="006074B9">
        <w:rPr>
          <w:sz w:val="24"/>
          <w:szCs w:val="24"/>
        </w:rPr>
        <w:t xml:space="preserve"> detail the </w:t>
      </w:r>
      <w:r w:rsidR="004D5586" w:rsidRPr="006074B9">
        <w:rPr>
          <w:sz w:val="24"/>
          <w:szCs w:val="24"/>
        </w:rPr>
        <w:t>collaboration with economic development partners</w:t>
      </w:r>
      <w:r w:rsidR="009C680E" w:rsidRPr="006074B9">
        <w:rPr>
          <w:sz w:val="24"/>
          <w:szCs w:val="24"/>
        </w:rPr>
        <w:t xml:space="preserve"> for the </w:t>
      </w:r>
      <w:r w:rsidR="00DC6D71" w:rsidRPr="006074B9">
        <w:rPr>
          <w:sz w:val="24"/>
          <w:szCs w:val="24"/>
        </w:rPr>
        <w:t xml:space="preserve">approved </w:t>
      </w:r>
      <w:r w:rsidR="009C680E" w:rsidRPr="006074B9">
        <w:rPr>
          <w:sz w:val="24"/>
          <w:szCs w:val="24"/>
        </w:rPr>
        <w:t>economic development project</w:t>
      </w:r>
      <w:r w:rsidRPr="006074B9">
        <w:rPr>
          <w:sz w:val="24"/>
          <w:szCs w:val="24"/>
        </w:rPr>
        <w:t>.</w:t>
      </w:r>
      <w:r w:rsidRPr="00274606">
        <w:rPr>
          <w:sz w:val="24"/>
          <w:szCs w:val="24"/>
        </w:rPr>
        <w:t xml:space="preserve">  </w:t>
      </w:r>
    </w:p>
    <w:p w14:paraId="48E0EB45" w14:textId="77AE8C02" w:rsidR="006306ED" w:rsidRDefault="006306ED" w:rsidP="000F4D2E">
      <w:pPr>
        <w:pStyle w:val="NormalWeb"/>
        <w:spacing w:before="0" w:beforeAutospacing="0" w:after="0" w:afterAutospacing="0"/>
        <w:rPr>
          <w:b/>
        </w:rPr>
      </w:pPr>
    </w:p>
    <w:p w14:paraId="3777744B" w14:textId="749B8C08" w:rsidR="000F4D2E" w:rsidRDefault="000F4D2E">
      <w:pPr>
        <w:pStyle w:val="NormalWeb"/>
        <w:spacing w:before="0" w:beforeAutospacing="0" w:after="0" w:afterAutospacing="0"/>
        <w:rPr>
          <w:b/>
          <w:bCs/>
        </w:rPr>
      </w:pPr>
      <w:r w:rsidRPr="30621045">
        <w:rPr>
          <w:b/>
          <w:bCs/>
        </w:rPr>
        <w:t xml:space="preserve">Section II.  </w:t>
      </w:r>
      <w:r w:rsidR="001F4BF6" w:rsidRPr="30621045">
        <w:rPr>
          <w:b/>
          <w:bCs/>
        </w:rPr>
        <w:t xml:space="preserve">NC </w:t>
      </w:r>
      <w:r w:rsidR="68BFDF95" w:rsidRPr="30621045">
        <w:rPr>
          <w:b/>
          <w:bCs/>
        </w:rPr>
        <w:t>Job Ready</w:t>
      </w:r>
      <w:r w:rsidRPr="30621045">
        <w:rPr>
          <w:b/>
          <w:bCs/>
        </w:rPr>
        <w:t xml:space="preserve"> Grant Budget:</w:t>
      </w:r>
    </w:p>
    <w:p w14:paraId="08B2D20F" w14:textId="77777777" w:rsidR="00CC3DD7" w:rsidRDefault="00CC3DD7" w:rsidP="000F4D2E">
      <w:pPr>
        <w:pStyle w:val="NormalWeb"/>
        <w:spacing w:before="0" w:beforeAutospacing="0" w:after="0" w:afterAutospacing="0"/>
      </w:pPr>
    </w:p>
    <w:p w14:paraId="0E9C6B59" w14:textId="2300ED5C" w:rsidR="00CC3DD7" w:rsidRPr="009C6EED" w:rsidRDefault="00101105" w:rsidP="30621045">
      <w:pPr>
        <w:pStyle w:val="NormalWeb"/>
        <w:spacing w:before="0" w:beforeAutospacing="0" w:after="0" w:afterAutospacing="0"/>
      </w:pPr>
      <w:r>
        <w:t>Complete</w:t>
      </w:r>
      <w:r w:rsidR="00CC3DD7">
        <w:t xml:space="preserve"> this section if the intended use of the NC</w:t>
      </w:r>
      <w:r w:rsidR="6E669552">
        <w:t>JR</w:t>
      </w:r>
      <w:r w:rsidR="00CC3DD7">
        <w:t xml:space="preserve"> fund is for Recruitment Activities. </w:t>
      </w:r>
    </w:p>
    <w:p w14:paraId="7CB52295" w14:textId="77777777" w:rsidR="000F4D2E" w:rsidRDefault="000F4D2E" w:rsidP="000F4D2E">
      <w:pPr>
        <w:pStyle w:val="NormalWeb"/>
        <w:spacing w:before="0" w:beforeAutospacing="0" w:after="0" w:afterAutospacing="0"/>
        <w:jc w:val="both"/>
      </w:pPr>
    </w:p>
    <w:tbl>
      <w:tblPr>
        <w:tblStyle w:val="TableGrid"/>
        <w:tblW w:w="0" w:type="auto"/>
        <w:tblLook w:val="04A0" w:firstRow="1" w:lastRow="0" w:firstColumn="1" w:lastColumn="0" w:noHBand="0" w:noVBand="1"/>
      </w:tblPr>
      <w:tblGrid>
        <w:gridCol w:w="2337"/>
        <w:gridCol w:w="2337"/>
        <w:gridCol w:w="2338"/>
        <w:gridCol w:w="2338"/>
      </w:tblGrid>
      <w:tr w:rsidR="00E36B26" w14:paraId="044FF1D7" w14:textId="77777777" w:rsidTr="00E36B26">
        <w:trPr>
          <w:trHeight w:val="1232"/>
        </w:trPr>
        <w:tc>
          <w:tcPr>
            <w:tcW w:w="2337" w:type="dxa"/>
          </w:tcPr>
          <w:p w14:paraId="237B897B" w14:textId="77777777" w:rsidR="00E36B26" w:rsidRDefault="00E36B26" w:rsidP="00E36B26">
            <w:pPr>
              <w:pStyle w:val="NormalWeb"/>
              <w:spacing w:before="0" w:beforeAutospacing="0" w:after="0" w:afterAutospacing="0"/>
              <w:jc w:val="center"/>
              <w:rPr>
                <w:b/>
                <w:bCs/>
              </w:rPr>
            </w:pPr>
            <w:r w:rsidRPr="00E57A0C">
              <w:rPr>
                <w:b/>
                <w:bCs/>
              </w:rPr>
              <w:t>Activity</w:t>
            </w:r>
          </w:p>
          <w:p w14:paraId="0848BC9E" w14:textId="44A67314" w:rsidR="00E36B26" w:rsidRPr="00E57A0C" w:rsidRDefault="00E36B26" w:rsidP="00E36B26">
            <w:pPr>
              <w:pStyle w:val="NormalWeb"/>
              <w:spacing w:before="0" w:beforeAutospacing="0" w:after="0" w:afterAutospacing="0"/>
              <w:jc w:val="center"/>
              <w:rPr>
                <w:b/>
                <w:bCs/>
              </w:rPr>
            </w:pPr>
            <w:r>
              <w:rPr>
                <w:b/>
                <w:bCs/>
              </w:rPr>
              <w:t>(</w:t>
            </w:r>
            <w:r w:rsidR="001827E3">
              <w:rPr>
                <w:b/>
                <w:bCs/>
              </w:rPr>
              <w:t>i.e.</w:t>
            </w:r>
            <w:r>
              <w:rPr>
                <w:b/>
                <w:bCs/>
              </w:rPr>
              <w:t xml:space="preserve"> job fair, digital outreach, </w:t>
            </w:r>
            <w:r w:rsidR="001827E3">
              <w:rPr>
                <w:b/>
                <w:bCs/>
              </w:rPr>
              <w:t>etc.</w:t>
            </w:r>
            <w:r>
              <w:rPr>
                <w:b/>
                <w:bCs/>
              </w:rPr>
              <w:t>)</w:t>
            </w:r>
          </w:p>
        </w:tc>
        <w:tc>
          <w:tcPr>
            <w:tcW w:w="2337" w:type="dxa"/>
          </w:tcPr>
          <w:p w14:paraId="6978A920" w14:textId="5492A5A0" w:rsidR="00E36B26" w:rsidRPr="00E57A0C" w:rsidRDefault="00E36B26" w:rsidP="00E36B26">
            <w:pPr>
              <w:pStyle w:val="NormalWeb"/>
              <w:spacing w:before="0" w:beforeAutospacing="0" w:after="0" w:afterAutospacing="0"/>
              <w:jc w:val="center"/>
              <w:rPr>
                <w:b/>
                <w:bCs/>
              </w:rPr>
            </w:pPr>
            <w:r>
              <w:rPr>
                <w:b/>
                <w:bCs/>
              </w:rPr>
              <w:t>Item or Service to be purchased / Vendor</w:t>
            </w:r>
          </w:p>
        </w:tc>
        <w:tc>
          <w:tcPr>
            <w:tcW w:w="2338" w:type="dxa"/>
          </w:tcPr>
          <w:p w14:paraId="54FD2583" w14:textId="24A6370B" w:rsidR="00E36B26" w:rsidRPr="00E57A0C" w:rsidRDefault="00101105" w:rsidP="00E36B26">
            <w:pPr>
              <w:pStyle w:val="NormalWeb"/>
              <w:spacing w:before="0" w:beforeAutospacing="0" w:after="0" w:afterAutospacing="0"/>
              <w:jc w:val="center"/>
              <w:rPr>
                <w:b/>
                <w:bCs/>
              </w:rPr>
            </w:pPr>
            <w:r>
              <w:rPr>
                <w:b/>
                <w:bCs/>
              </w:rPr>
              <w:t xml:space="preserve">Estimated </w:t>
            </w:r>
            <w:r w:rsidR="00E36B26" w:rsidRPr="00E57A0C">
              <w:rPr>
                <w:b/>
                <w:bCs/>
              </w:rPr>
              <w:t>Projected Timeline</w:t>
            </w:r>
            <w:r w:rsidR="00E36B26">
              <w:rPr>
                <w:b/>
                <w:bCs/>
              </w:rPr>
              <w:t xml:space="preserve"> (start and end date)</w:t>
            </w:r>
          </w:p>
        </w:tc>
        <w:tc>
          <w:tcPr>
            <w:tcW w:w="2338" w:type="dxa"/>
          </w:tcPr>
          <w:p w14:paraId="0E94FA38" w14:textId="182B0056" w:rsidR="00E36B26" w:rsidRPr="00E57A0C" w:rsidRDefault="00E36B26" w:rsidP="00E36B26">
            <w:pPr>
              <w:pStyle w:val="NormalWeb"/>
              <w:spacing w:before="0" w:beforeAutospacing="0" w:after="0" w:afterAutospacing="0"/>
              <w:jc w:val="center"/>
              <w:rPr>
                <w:b/>
                <w:bCs/>
              </w:rPr>
            </w:pPr>
            <w:r w:rsidRPr="00E57A0C">
              <w:rPr>
                <w:b/>
                <w:bCs/>
              </w:rPr>
              <w:t>Total Amount Requested</w:t>
            </w:r>
          </w:p>
        </w:tc>
      </w:tr>
      <w:tr w:rsidR="00E36B26" w14:paraId="0C879B69" w14:textId="77777777" w:rsidTr="00E36B26">
        <w:trPr>
          <w:trHeight w:val="980"/>
        </w:trPr>
        <w:tc>
          <w:tcPr>
            <w:tcW w:w="2337" w:type="dxa"/>
          </w:tcPr>
          <w:p w14:paraId="09FD8120" w14:textId="1827146E" w:rsidR="00E36B26" w:rsidRDefault="00E36B26" w:rsidP="00E36B26">
            <w:pPr>
              <w:pStyle w:val="NormalWeb"/>
              <w:spacing w:before="0" w:beforeAutospacing="0" w:after="0" w:afterAutospacing="0"/>
              <w:jc w:val="center"/>
            </w:pPr>
          </w:p>
        </w:tc>
        <w:tc>
          <w:tcPr>
            <w:tcW w:w="2337" w:type="dxa"/>
          </w:tcPr>
          <w:p w14:paraId="5D4F6F0E" w14:textId="77777777" w:rsidR="00E36B26" w:rsidRDefault="00E36B26" w:rsidP="00E36B26">
            <w:pPr>
              <w:pStyle w:val="NormalWeb"/>
              <w:spacing w:before="0" w:beforeAutospacing="0" w:after="0" w:afterAutospacing="0"/>
              <w:jc w:val="both"/>
            </w:pPr>
          </w:p>
        </w:tc>
        <w:tc>
          <w:tcPr>
            <w:tcW w:w="2338" w:type="dxa"/>
          </w:tcPr>
          <w:p w14:paraId="4B646266" w14:textId="77777777" w:rsidR="00E36B26" w:rsidRDefault="00E36B26" w:rsidP="00E36B26">
            <w:pPr>
              <w:pStyle w:val="NormalWeb"/>
              <w:spacing w:before="0" w:beforeAutospacing="0" w:after="0" w:afterAutospacing="0"/>
              <w:jc w:val="both"/>
            </w:pPr>
          </w:p>
        </w:tc>
        <w:tc>
          <w:tcPr>
            <w:tcW w:w="2338" w:type="dxa"/>
          </w:tcPr>
          <w:p w14:paraId="651FB5A0" w14:textId="77777777" w:rsidR="00E36B26" w:rsidRDefault="00E36B26" w:rsidP="00E36B26">
            <w:pPr>
              <w:pStyle w:val="NormalWeb"/>
              <w:spacing w:before="0" w:beforeAutospacing="0" w:after="0" w:afterAutospacing="0"/>
              <w:jc w:val="both"/>
            </w:pPr>
          </w:p>
        </w:tc>
      </w:tr>
      <w:tr w:rsidR="00E36B26" w14:paraId="5182BBB3" w14:textId="77777777" w:rsidTr="00E57A0C">
        <w:tc>
          <w:tcPr>
            <w:tcW w:w="2337" w:type="dxa"/>
          </w:tcPr>
          <w:p w14:paraId="027E2A3B" w14:textId="77777777" w:rsidR="00E36B26" w:rsidRDefault="00E36B26" w:rsidP="00E36B26">
            <w:pPr>
              <w:pStyle w:val="NormalWeb"/>
              <w:spacing w:before="0" w:beforeAutospacing="0" w:after="0" w:afterAutospacing="0"/>
              <w:jc w:val="both"/>
            </w:pPr>
          </w:p>
          <w:p w14:paraId="15E8C8CD" w14:textId="77777777" w:rsidR="00E36B26" w:rsidRDefault="00E36B26" w:rsidP="00E36B26">
            <w:pPr>
              <w:pStyle w:val="NormalWeb"/>
              <w:spacing w:before="0" w:beforeAutospacing="0" w:after="0" w:afterAutospacing="0"/>
              <w:jc w:val="both"/>
            </w:pPr>
          </w:p>
          <w:p w14:paraId="4961CE48" w14:textId="77777777" w:rsidR="00E36B26" w:rsidRDefault="00E36B26" w:rsidP="00E36B26">
            <w:pPr>
              <w:pStyle w:val="NormalWeb"/>
              <w:spacing w:before="0" w:beforeAutospacing="0" w:after="0" w:afterAutospacing="0"/>
              <w:jc w:val="both"/>
            </w:pPr>
          </w:p>
        </w:tc>
        <w:tc>
          <w:tcPr>
            <w:tcW w:w="2337" w:type="dxa"/>
          </w:tcPr>
          <w:p w14:paraId="48337067" w14:textId="77777777" w:rsidR="00E36B26" w:rsidRDefault="00E36B26" w:rsidP="00E36B26">
            <w:pPr>
              <w:pStyle w:val="NormalWeb"/>
              <w:spacing w:before="0" w:beforeAutospacing="0" w:after="0" w:afterAutospacing="0"/>
              <w:jc w:val="both"/>
            </w:pPr>
          </w:p>
        </w:tc>
        <w:tc>
          <w:tcPr>
            <w:tcW w:w="2338" w:type="dxa"/>
          </w:tcPr>
          <w:p w14:paraId="786C0DDC" w14:textId="77777777" w:rsidR="00E36B26" w:rsidRDefault="00E36B26" w:rsidP="00E36B26">
            <w:pPr>
              <w:pStyle w:val="NormalWeb"/>
              <w:spacing w:before="0" w:beforeAutospacing="0" w:after="0" w:afterAutospacing="0"/>
              <w:jc w:val="both"/>
            </w:pPr>
          </w:p>
        </w:tc>
        <w:tc>
          <w:tcPr>
            <w:tcW w:w="2338" w:type="dxa"/>
          </w:tcPr>
          <w:p w14:paraId="645CA715" w14:textId="77777777" w:rsidR="00E36B26" w:rsidRDefault="00E36B26" w:rsidP="00E36B26">
            <w:pPr>
              <w:pStyle w:val="NormalWeb"/>
              <w:spacing w:before="0" w:beforeAutospacing="0" w:after="0" w:afterAutospacing="0"/>
              <w:jc w:val="both"/>
            </w:pPr>
          </w:p>
        </w:tc>
      </w:tr>
      <w:tr w:rsidR="00E36B26" w14:paraId="29F40295" w14:textId="77777777" w:rsidTr="00E57A0C">
        <w:tc>
          <w:tcPr>
            <w:tcW w:w="2337" w:type="dxa"/>
          </w:tcPr>
          <w:p w14:paraId="374854C8" w14:textId="77777777" w:rsidR="00E36B26" w:rsidRDefault="00E36B26" w:rsidP="00E36B26">
            <w:pPr>
              <w:pStyle w:val="NormalWeb"/>
              <w:spacing w:before="0" w:beforeAutospacing="0" w:after="0" w:afterAutospacing="0"/>
              <w:jc w:val="both"/>
            </w:pPr>
          </w:p>
          <w:p w14:paraId="4C944FBC" w14:textId="77777777" w:rsidR="00E36B26" w:rsidRDefault="00E36B26" w:rsidP="00E36B26">
            <w:pPr>
              <w:pStyle w:val="NormalWeb"/>
              <w:spacing w:before="0" w:beforeAutospacing="0" w:after="0" w:afterAutospacing="0"/>
              <w:jc w:val="both"/>
            </w:pPr>
          </w:p>
          <w:p w14:paraId="1F67B186" w14:textId="77777777" w:rsidR="00E36B26" w:rsidRDefault="00E36B26" w:rsidP="00E36B26">
            <w:pPr>
              <w:pStyle w:val="NormalWeb"/>
              <w:spacing w:before="0" w:beforeAutospacing="0" w:after="0" w:afterAutospacing="0"/>
              <w:jc w:val="both"/>
            </w:pPr>
          </w:p>
        </w:tc>
        <w:tc>
          <w:tcPr>
            <w:tcW w:w="2337" w:type="dxa"/>
          </w:tcPr>
          <w:p w14:paraId="68121FF1" w14:textId="77777777" w:rsidR="00E36B26" w:rsidRDefault="00E36B26" w:rsidP="00E36B26">
            <w:pPr>
              <w:pStyle w:val="NormalWeb"/>
              <w:spacing w:before="0" w:beforeAutospacing="0" w:after="0" w:afterAutospacing="0"/>
              <w:jc w:val="both"/>
            </w:pPr>
          </w:p>
        </w:tc>
        <w:tc>
          <w:tcPr>
            <w:tcW w:w="2338" w:type="dxa"/>
          </w:tcPr>
          <w:p w14:paraId="1A605E95" w14:textId="77777777" w:rsidR="00E36B26" w:rsidRDefault="00E36B26" w:rsidP="00E36B26">
            <w:pPr>
              <w:pStyle w:val="NormalWeb"/>
              <w:spacing w:before="0" w:beforeAutospacing="0" w:after="0" w:afterAutospacing="0"/>
              <w:jc w:val="both"/>
            </w:pPr>
          </w:p>
        </w:tc>
        <w:tc>
          <w:tcPr>
            <w:tcW w:w="2338" w:type="dxa"/>
          </w:tcPr>
          <w:p w14:paraId="7E194188" w14:textId="77777777" w:rsidR="00E36B26" w:rsidRDefault="00E36B26" w:rsidP="00E36B26">
            <w:pPr>
              <w:pStyle w:val="NormalWeb"/>
              <w:spacing w:before="0" w:beforeAutospacing="0" w:after="0" w:afterAutospacing="0"/>
              <w:jc w:val="both"/>
            </w:pPr>
          </w:p>
        </w:tc>
      </w:tr>
      <w:tr w:rsidR="00E36B26" w14:paraId="0A6D1579" w14:textId="77777777" w:rsidTr="00E57A0C">
        <w:tc>
          <w:tcPr>
            <w:tcW w:w="2337" w:type="dxa"/>
          </w:tcPr>
          <w:p w14:paraId="1ED90E71" w14:textId="77777777" w:rsidR="00E36B26" w:rsidRDefault="00E36B26" w:rsidP="00E36B26">
            <w:pPr>
              <w:pStyle w:val="NormalWeb"/>
              <w:spacing w:before="0" w:beforeAutospacing="0" w:after="0" w:afterAutospacing="0"/>
              <w:jc w:val="both"/>
            </w:pPr>
          </w:p>
          <w:p w14:paraId="479E4317" w14:textId="77777777" w:rsidR="00E36B26" w:rsidRDefault="00E36B26" w:rsidP="00E36B26">
            <w:pPr>
              <w:pStyle w:val="NormalWeb"/>
              <w:spacing w:before="0" w:beforeAutospacing="0" w:after="0" w:afterAutospacing="0"/>
              <w:jc w:val="both"/>
            </w:pPr>
          </w:p>
          <w:p w14:paraId="1113D17E" w14:textId="77777777" w:rsidR="00E36B26" w:rsidRDefault="00E36B26" w:rsidP="00E36B26">
            <w:pPr>
              <w:pStyle w:val="NormalWeb"/>
              <w:spacing w:before="0" w:beforeAutospacing="0" w:after="0" w:afterAutospacing="0"/>
              <w:jc w:val="both"/>
            </w:pPr>
          </w:p>
        </w:tc>
        <w:tc>
          <w:tcPr>
            <w:tcW w:w="2337" w:type="dxa"/>
          </w:tcPr>
          <w:p w14:paraId="40588D90" w14:textId="77777777" w:rsidR="00E36B26" w:rsidRDefault="00E36B26" w:rsidP="00E36B26">
            <w:pPr>
              <w:pStyle w:val="NormalWeb"/>
              <w:spacing w:before="0" w:beforeAutospacing="0" w:after="0" w:afterAutospacing="0"/>
              <w:jc w:val="both"/>
            </w:pPr>
          </w:p>
        </w:tc>
        <w:tc>
          <w:tcPr>
            <w:tcW w:w="2338" w:type="dxa"/>
          </w:tcPr>
          <w:p w14:paraId="203BAF65" w14:textId="77777777" w:rsidR="00E36B26" w:rsidRDefault="00E36B26" w:rsidP="00E36B26">
            <w:pPr>
              <w:pStyle w:val="NormalWeb"/>
              <w:spacing w:before="0" w:beforeAutospacing="0" w:after="0" w:afterAutospacing="0"/>
              <w:jc w:val="both"/>
            </w:pPr>
          </w:p>
        </w:tc>
        <w:tc>
          <w:tcPr>
            <w:tcW w:w="2338" w:type="dxa"/>
          </w:tcPr>
          <w:p w14:paraId="2CC4869E" w14:textId="77777777" w:rsidR="00E36B26" w:rsidRDefault="00E36B26" w:rsidP="00E36B26">
            <w:pPr>
              <w:pStyle w:val="NormalWeb"/>
              <w:spacing w:before="0" w:beforeAutospacing="0" w:after="0" w:afterAutospacing="0"/>
              <w:jc w:val="both"/>
            </w:pPr>
          </w:p>
        </w:tc>
      </w:tr>
      <w:tr w:rsidR="00E36B26" w14:paraId="7AA63A25" w14:textId="77777777" w:rsidTr="00E57A0C">
        <w:tc>
          <w:tcPr>
            <w:tcW w:w="2337" w:type="dxa"/>
          </w:tcPr>
          <w:p w14:paraId="6B57C2F4" w14:textId="77777777" w:rsidR="00E36B26" w:rsidRDefault="00E36B26" w:rsidP="00E36B26">
            <w:pPr>
              <w:pStyle w:val="NormalWeb"/>
              <w:spacing w:before="0" w:beforeAutospacing="0" w:after="0" w:afterAutospacing="0"/>
              <w:jc w:val="both"/>
            </w:pPr>
          </w:p>
          <w:p w14:paraId="2656E1BD" w14:textId="77777777" w:rsidR="00E36B26" w:rsidRDefault="00E36B26" w:rsidP="00E36B26">
            <w:pPr>
              <w:pStyle w:val="NormalWeb"/>
              <w:spacing w:before="0" w:beforeAutospacing="0" w:after="0" w:afterAutospacing="0"/>
              <w:jc w:val="both"/>
            </w:pPr>
          </w:p>
          <w:p w14:paraId="15DD6DAB" w14:textId="77777777" w:rsidR="00E36B26" w:rsidRDefault="00E36B26" w:rsidP="00E36B26">
            <w:pPr>
              <w:pStyle w:val="NormalWeb"/>
              <w:spacing w:before="0" w:beforeAutospacing="0" w:after="0" w:afterAutospacing="0"/>
              <w:jc w:val="both"/>
            </w:pPr>
          </w:p>
        </w:tc>
        <w:tc>
          <w:tcPr>
            <w:tcW w:w="2337" w:type="dxa"/>
          </w:tcPr>
          <w:p w14:paraId="6AC50120" w14:textId="77777777" w:rsidR="00E36B26" w:rsidRDefault="00E36B26" w:rsidP="00E36B26">
            <w:pPr>
              <w:pStyle w:val="NormalWeb"/>
              <w:spacing w:before="0" w:beforeAutospacing="0" w:after="0" w:afterAutospacing="0"/>
              <w:jc w:val="both"/>
            </w:pPr>
          </w:p>
        </w:tc>
        <w:tc>
          <w:tcPr>
            <w:tcW w:w="2338" w:type="dxa"/>
          </w:tcPr>
          <w:p w14:paraId="22C917D2" w14:textId="77777777" w:rsidR="00E36B26" w:rsidRDefault="00E36B26" w:rsidP="00E36B26">
            <w:pPr>
              <w:pStyle w:val="NormalWeb"/>
              <w:spacing w:before="0" w:beforeAutospacing="0" w:after="0" w:afterAutospacing="0"/>
              <w:jc w:val="both"/>
            </w:pPr>
          </w:p>
        </w:tc>
        <w:tc>
          <w:tcPr>
            <w:tcW w:w="2338" w:type="dxa"/>
          </w:tcPr>
          <w:p w14:paraId="17A39C0C" w14:textId="77777777" w:rsidR="00E36B26" w:rsidRDefault="00E36B26" w:rsidP="00E36B26">
            <w:pPr>
              <w:pStyle w:val="NormalWeb"/>
              <w:spacing w:before="0" w:beforeAutospacing="0" w:after="0" w:afterAutospacing="0"/>
              <w:jc w:val="both"/>
            </w:pPr>
          </w:p>
        </w:tc>
      </w:tr>
    </w:tbl>
    <w:p w14:paraId="4E45A8B0" w14:textId="77777777" w:rsidR="00E57A0C" w:rsidRDefault="00E57A0C" w:rsidP="00FD1632">
      <w:pPr>
        <w:tabs>
          <w:tab w:val="center" w:pos="4320"/>
          <w:tab w:val="right" w:pos="8640"/>
        </w:tabs>
        <w:jc w:val="both"/>
        <w:rPr>
          <w:sz w:val="24"/>
          <w:szCs w:val="24"/>
        </w:rPr>
      </w:pPr>
    </w:p>
    <w:p w14:paraId="57739902" w14:textId="36A6A357" w:rsidR="00FD1632" w:rsidRPr="00226D32" w:rsidRDefault="00101105">
      <w:pPr>
        <w:tabs>
          <w:tab w:val="center" w:pos="4320"/>
          <w:tab w:val="right" w:pos="8640"/>
        </w:tabs>
        <w:jc w:val="both"/>
        <w:rPr>
          <w:sz w:val="24"/>
          <w:szCs w:val="24"/>
        </w:rPr>
      </w:pPr>
      <w:r w:rsidRPr="5C746DE3">
        <w:rPr>
          <w:sz w:val="24"/>
          <w:szCs w:val="24"/>
        </w:rPr>
        <w:lastRenderedPageBreak/>
        <w:t>Complete</w:t>
      </w:r>
      <w:r w:rsidR="00E57A0C" w:rsidRPr="5C746DE3">
        <w:rPr>
          <w:sz w:val="24"/>
          <w:szCs w:val="24"/>
        </w:rPr>
        <w:t xml:space="preserve"> this section</w:t>
      </w:r>
      <w:r w:rsidR="00236968" w:rsidRPr="5C746DE3">
        <w:rPr>
          <w:sz w:val="24"/>
          <w:szCs w:val="24"/>
        </w:rPr>
        <w:t xml:space="preserve"> if the intended use of the NC</w:t>
      </w:r>
      <w:r w:rsidR="6FF9A891" w:rsidRPr="5C746DE3">
        <w:rPr>
          <w:sz w:val="24"/>
          <w:szCs w:val="24"/>
        </w:rPr>
        <w:t>JR</w:t>
      </w:r>
      <w:r w:rsidR="00236968" w:rsidRPr="5C746DE3">
        <w:rPr>
          <w:sz w:val="24"/>
          <w:szCs w:val="24"/>
        </w:rPr>
        <w:t xml:space="preserve"> fund is for OJT and/or IWT</w:t>
      </w:r>
      <w:r w:rsidR="000F4D2E" w:rsidRPr="5C746DE3">
        <w:rPr>
          <w:sz w:val="24"/>
          <w:szCs w:val="24"/>
        </w:rPr>
        <w:t>.</w:t>
      </w:r>
      <w:r w:rsidR="00E042F7" w:rsidRPr="5C746DE3">
        <w:rPr>
          <w:sz w:val="24"/>
          <w:szCs w:val="24"/>
        </w:rPr>
        <w:t xml:space="preserve"> </w:t>
      </w:r>
      <w:r w:rsidR="00CC3DD7" w:rsidRPr="5C746DE3">
        <w:rPr>
          <w:sz w:val="24"/>
          <w:szCs w:val="24"/>
        </w:rPr>
        <w:t>Attach employer</w:t>
      </w:r>
      <w:r w:rsidR="00FD1632" w:rsidRPr="5C746DE3">
        <w:rPr>
          <w:sz w:val="24"/>
          <w:szCs w:val="24"/>
        </w:rPr>
        <w:t xml:space="preserve"> training proposal and approved training vendor quote</w:t>
      </w:r>
      <w:r w:rsidR="006D6096" w:rsidRPr="5C746DE3">
        <w:rPr>
          <w:sz w:val="24"/>
          <w:szCs w:val="24"/>
        </w:rPr>
        <w:t>(s)</w:t>
      </w:r>
      <w:r w:rsidR="00FD1632" w:rsidRPr="5C746DE3">
        <w:rPr>
          <w:sz w:val="24"/>
          <w:szCs w:val="24"/>
        </w:rPr>
        <w:t xml:space="preserve">. </w:t>
      </w:r>
    </w:p>
    <w:p w14:paraId="4BFC96F4" w14:textId="269C5B9F" w:rsidR="000F4D2E" w:rsidRPr="009C6EED" w:rsidRDefault="000F4D2E" w:rsidP="000F4D2E">
      <w:pPr>
        <w:pStyle w:val="NormalWeb"/>
        <w:spacing w:before="0" w:beforeAutospacing="0" w:after="0" w:afterAutospacing="0"/>
        <w:jc w:val="both"/>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1170"/>
        <w:gridCol w:w="3325"/>
        <w:gridCol w:w="1095"/>
        <w:gridCol w:w="1700"/>
      </w:tblGrid>
      <w:tr w:rsidR="00E042F7" w:rsidRPr="009C6EED" w14:paraId="7A6A3142" w14:textId="77777777" w:rsidTr="00E80DF8">
        <w:trPr>
          <w:trHeight w:val="300"/>
        </w:trPr>
        <w:tc>
          <w:tcPr>
            <w:tcW w:w="2335" w:type="dxa"/>
          </w:tcPr>
          <w:p w14:paraId="4FA2B5E3" w14:textId="77777777" w:rsidR="00047C32" w:rsidRPr="00E042F7" w:rsidRDefault="00047C32" w:rsidP="00E042F7">
            <w:pPr>
              <w:pStyle w:val="NormalWeb"/>
              <w:spacing w:before="0" w:beforeAutospacing="0" w:after="0" w:afterAutospacing="0"/>
              <w:jc w:val="center"/>
              <w:rPr>
                <w:b/>
                <w:sz w:val="22"/>
                <w:szCs w:val="22"/>
              </w:rPr>
            </w:pPr>
            <w:r w:rsidRPr="00ED3A52">
              <w:rPr>
                <w:b/>
              </w:rPr>
              <w:t>Category</w:t>
            </w:r>
          </w:p>
        </w:tc>
        <w:tc>
          <w:tcPr>
            <w:tcW w:w="1170" w:type="dxa"/>
          </w:tcPr>
          <w:p w14:paraId="046618DD" w14:textId="2B471F2E" w:rsidR="00047C32" w:rsidRPr="00E042F7" w:rsidDel="00047C32" w:rsidRDefault="00047C32" w:rsidP="00E042F7">
            <w:pPr>
              <w:pStyle w:val="NormalWeb"/>
              <w:spacing w:before="0" w:beforeAutospacing="0" w:after="0" w:afterAutospacing="0"/>
              <w:jc w:val="center"/>
              <w:rPr>
                <w:b/>
                <w:sz w:val="22"/>
                <w:szCs w:val="22"/>
              </w:rPr>
            </w:pPr>
            <w:r w:rsidRPr="00ED3A52">
              <w:rPr>
                <w:b/>
              </w:rPr>
              <w:t>Quantity</w:t>
            </w:r>
          </w:p>
        </w:tc>
        <w:tc>
          <w:tcPr>
            <w:tcW w:w="3325" w:type="dxa"/>
          </w:tcPr>
          <w:p w14:paraId="3028AA2B" w14:textId="44A3570A" w:rsidR="00047C32" w:rsidRPr="00E042F7" w:rsidRDefault="00047C32" w:rsidP="00E042F7">
            <w:pPr>
              <w:pStyle w:val="NormalWeb"/>
              <w:spacing w:before="0" w:beforeAutospacing="0" w:after="0" w:afterAutospacing="0"/>
              <w:jc w:val="center"/>
              <w:rPr>
                <w:b/>
                <w:sz w:val="22"/>
                <w:szCs w:val="22"/>
              </w:rPr>
            </w:pPr>
            <w:r w:rsidRPr="00ED3A52">
              <w:rPr>
                <w:b/>
              </w:rPr>
              <w:t>Job Title</w:t>
            </w:r>
          </w:p>
        </w:tc>
        <w:tc>
          <w:tcPr>
            <w:tcW w:w="1095" w:type="dxa"/>
          </w:tcPr>
          <w:p w14:paraId="7F5FFF01" w14:textId="05378958" w:rsidR="00047C32" w:rsidRPr="00E042F7" w:rsidRDefault="00930590" w:rsidP="00E042F7">
            <w:pPr>
              <w:pStyle w:val="NormalWeb"/>
              <w:spacing w:before="0" w:beforeAutospacing="0" w:after="0" w:afterAutospacing="0"/>
              <w:jc w:val="center"/>
              <w:rPr>
                <w:b/>
                <w:sz w:val="22"/>
                <w:szCs w:val="22"/>
              </w:rPr>
            </w:pPr>
            <w:r w:rsidRPr="00ED3A52">
              <w:rPr>
                <w:b/>
              </w:rPr>
              <w:t>Eligible %</w:t>
            </w:r>
            <w:r w:rsidR="003D7B1F" w:rsidRPr="00ED3A52">
              <w:rPr>
                <w:b/>
              </w:rPr>
              <w:t>*</w:t>
            </w:r>
          </w:p>
        </w:tc>
        <w:tc>
          <w:tcPr>
            <w:tcW w:w="1700" w:type="dxa"/>
          </w:tcPr>
          <w:p w14:paraId="23151242" w14:textId="04C523CD" w:rsidR="00047C32" w:rsidRPr="00E042F7" w:rsidRDefault="00930590" w:rsidP="00E042F7">
            <w:pPr>
              <w:pStyle w:val="NormalWeb"/>
              <w:spacing w:before="0" w:beforeAutospacing="0" w:after="0" w:afterAutospacing="0"/>
              <w:jc w:val="center"/>
              <w:rPr>
                <w:b/>
                <w:sz w:val="22"/>
                <w:szCs w:val="22"/>
              </w:rPr>
            </w:pPr>
            <w:r w:rsidRPr="00ED3A52">
              <w:rPr>
                <w:b/>
              </w:rPr>
              <w:t xml:space="preserve">Total </w:t>
            </w:r>
            <w:r w:rsidR="00047C32" w:rsidRPr="00ED3A52">
              <w:rPr>
                <w:b/>
              </w:rPr>
              <w:t>Amount Requested</w:t>
            </w:r>
          </w:p>
        </w:tc>
      </w:tr>
      <w:tr w:rsidR="00E042F7" w:rsidRPr="009C6EED" w14:paraId="71C73726" w14:textId="77777777" w:rsidTr="00E80DF8">
        <w:trPr>
          <w:trHeight w:val="300"/>
        </w:trPr>
        <w:tc>
          <w:tcPr>
            <w:tcW w:w="2335" w:type="dxa"/>
          </w:tcPr>
          <w:p w14:paraId="56F0B586" w14:textId="639E229D" w:rsidR="00047C32" w:rsidRPr="00E042F7" w:rsidRDefault="00047C32" w:rsidP="003F23AD">
            <w:pPr>
              <w:pStyle w:val="NormalWeb"/>
              <w:spacing w:before="0" w:beforeAutospacing="0" w:after="0" w:afterAutospacing="0"/>
              <w:jc w:val="both"/>
              <w:rPr>
                <w:sz w:val="22"/>
                <w:szCs w:val="22"/>
              </w:rPr>
            </w:pPr>
            <w:r w:rsidRPr="00ED3A52">
              <w:t>Company Employee Wages (please list as job titles, quantities of each job title and annual salaries for each. This list should total the number of employees trained)</w:t>
            </w:r>
            <w:r w:rsidR="003E6CDD" w:rsidRPr="00ED3A52">
              <w:rPr>
                <w:vertAlign w:val="superscript"/>
              </w:rPr>
              <w:t>1</w:t>
            </w:r>
          </w:p>
        </w:tc>
        <w:tc>
          <w:tcPr>
            <w:tcW w:w="1170" w:type="dxa"/>
          </w:tcPr>
          <w:p w14:paraId="1D6318A7" w14:textId="77777777" w:rsidR="00047C32" w:rsidRPr="009C6EED" w:rsidRDefault="00047C32">
            <w:pPr>
              <w:pStyle w:val="NormalWeb"/>
              <w:spacing w:before="0" w:beforeAutospacing="0" w:after="0" w:afterAutospacing="0"/>
              <w:jc w:val="both"/>
            </w:pPr>
          </w:p>
        </w:tc>
        <w:tc>
          <w:tcPr>
            <w:tcW w:w="3325" w:type="dxa"/>
          </w:tcPr>
          <w:p w14:paraId="6B70BBF4" w14:textId="74F2B051" w:rsidR="00047C32" w:rsidRPr="009C6EED" w:rsidRDefault="00047C32">
            <w:pPr>
              <w:pStyle w:val="NormalWeb"/>
              <w:spacing w:before="0" w:beforeAutospacing="0" w:after="0" w:afterAutospacing="0"/>
              <w:jc w:val="both"/>
            </w:pPr>
          </w:p>
        </w:tc>
        <w:tc>
          <w:tcPr>
            <w:tcW w:w="1095" w:type="dxa"/>
          </w:tcPr>
          <w:p w14:paraId="23E94286" w14:textId="77777777" w:rsidR="00047C32" w:rsidRPr="009C6EED" w:rsidRDefault="00047C32">
            <w:pPr>
              <w:pStyle w:val="NormalWeb"/>
              <w:spacing w:before="0" w:beforeAutospacing="0" w:after="0" w:afterAutospacing="0"/>
              <w:jc w:val="both"/>
            </w:pPr>
          </w:p>
        </w:tc>
        <w:tc>
          <w:tcPr>
            <w:tcW w:w="1700" w:type="dxa"/>
          </w:tcPr>
          <w:p w14:paraId="5EE77D85" w14:textId="31A862F6" w:rsidR="00047C32" w:rsidRPr="009C6EED" w:rsidRDefault="00047C32">
            <w:pPr>
              <w:pStyle w:val="NormalWeb"/>
              <w:spacing w:before="0" w:beforeAutospacing="0" w:after="0" w:afterAutospacing="0"/>
              <w:jc w:val="both"/>
            </w:pPr>
          </w:p>
        </w:tc>
      </w:tr>
      <w:tr w:rsidR="00C5684A" w:rsidRPr="009C6EED" w14:paraId="24043192" w14:textId="77777777" w:rsidTr="00E80DF8">
        <w:trPr>
          <w:trHeight w:val="300"/>
        </w:trPr>
        <w:tc>
          <w:tcPr>
            <w:tcW w:w="2335" w:type="dxa"/>
          </w:tcPr>
          <w:p w14:paraId="61F572F8" w14:textId="072D30ED" w:rsidR="00C5684A" w:rsidRPr="003D7B1F" w:rsidRDefault="00C5684A" w:rsidP="00ED3A52">
            <w:pPr>
              <w:pStyle w:val="NormalWeb"/>
              <w:spacing w:before="0" w:beforeAutospacing="0" w:after="0" w:afterAutospacing="0"/>
              <w:jc w:val="center"/>
              <w:rPr>
                <w:b/>
                <w:sz w:val="22"/>
              </w:rPr>
            </w:pPr>
            <w:r w:rsidRPr="00ED3A52">
              <w:rPr>
                <w:b/>
                <w:szCs w:val="28"/>
              </w:rPr>
              <w:t>Tota</w:t>
            </w:r>
            <w:r w:rsidR="00360111" w:rsidRPr="00ED3A52">
              <w:rPr>
                <w:b/>
                <w:szCs w:val="28"/>
              </w:rPr>
              <w:t>l receivin</w:t>
            </w:r>
            <w:r w:rsidR="003D7B1F" w:rsidRPr="00ED3A52">
              <w:rPr>
                <w:b/>
                <w:szCs w:val="28"/>
              </w:rPr>
              <w:t>g OJT</w:t>
            </w:r>
          </w:p>
        </w:tc>
        <w:tc>
          <w:tcPr>
            <w:tcW w:w="1170" w:type="dxa"/>
          </w:tcPr>
          <w:p w14:paraId="204891D3" w14:textId="77777777" w:rsidR="00C5684A" w:rsidRPr="009C6EED" w:rsidRDefault="00C5684A">
            <w:pPr>
              <w:pStyle w:val="NormalWeb"/>
              <w:spacing w:before="0" w:beforeAutospacing="0" w:after="0" w:afterAutospacing="0"/>
              <w:jc w:val="both"/>
            </w:pPr>
          </w:p>
        </w:tc>
        <w:tc>
          <w:tcPr>
            <w:tcW w:w="3325" w:type="dxa"/>
          </w:tcPr>
          <w:p w14:paraId="1B0F1D8D" w14:textId="77777777" w:rsidR="00C5684A" w:rsidRPr="009C6EED" w:rsidRDefault="00C5684A">
            <w:pPr>
              <w:pStyle w:val="NormalWeb"/>
              <w:spacing w:before="0" w:beforeAutospacing="0" w:after="0" w:afterAutospacing="0"/>
              <w:jc w:val="both"/>
            </w:pPr>
          </w:p>
        </w:tc>
        <w:tc>
          <w:tcPr>
            <w:tcW w:w="1095" w:type="dxa"/>
          </w:tcPr>
          <w:p w14:paraId="2DED7228" w14:textId="77777777" w:rsidR="00C5684A" w:rsidRPr="009C6EED" w:rsidRDefault="00C5684A">
            <w:pPr>
              <w:pStyle w:val="NormalWeb"/>
              <w:spacing w:before="0" w:beforeAutospacing="0" w:after="0" w:afterAutospacing="0"/>
              <w:jc w:val="both"/>
            </w:pPr>
          </w:p>
        </w:tc>
        <w:tc>
          <w:tcPr>
            <w:tcW w:w="1700" w:type="dxa"/>
          </w:tcPr>
          <w:p w14:paraId="09412A66" w14:textId="77777777" w:rsidR="00C5684A" w:rsidRPr="009C6EED" w:rsidRDefault="00C5684A">
            <w:pPr>
              <w:pStyle w:val="NormalWeb"/>
              <w:spacing w:before="0" w:beforeAutospacing="0" w:after="0" w:afterAutospacing="0"/>
              <w:jc w:val="both"/>
            </w:pPr>
          </w:p>
        </w:tc>
      </w:tr>
      <w:tr w:rsidR="003D7B1F" w:rsidRPr="009C6EED" w14:paraId="261B5AED" w14:textId="77777777" w:rsidTr="00E80DF8">
        <w:trPr>
          <w:trHeight w:val="300"/>
        </w:trPr>
        <w:tc>
          <w:tcPr>
            <w:tcW w:w="2335" w:type="dxa"/>
          </w:tcPr>
          <w:p w14:paraId="5BA63980" w14:textId="2B643051" w:rsidR="003D7B1F" w:rsidRPr="00E042F7" w:rsidRDefault="003D7B1F" w:rsidP="003F23AD">
            <w:pPr>
              <w:pStyle w:val="NormalWeb"/>
              <w:spacing w:before="0" w:beforeAutospacing="0" w:after="0" w:afterAutospacing="0"/>
              <w:jc w:val="both"/>
              <w:rPr>
                <w:sz w:val="22"/>
                <w:szCs w:val="22"/>
              </w:rPr>
            </w:pPr>
            <w:r w:rsidRPr="003F23AD">
              <w:t>Company Employee Wages (please list as job titles, quantities of each job title</w:t>
            </w:r>
            <w:r w:rsidR="00985394" w:rsidRPr="003F23AD">
              <w:t>,</w:t>
            </w:r>
            <w:r w:rsidRPr="003F23AD">
              <w:t xml:space="preserve"> and annual salaries for each. This list should total the number of employees trained)</w:t>
            </w:r>
          </w:p>
        </w:tc>
        <w:tc>
          <w:tcPr>
            <w:tcW w:w="1170" w:type="dxa"/>
          </w:tcPr>
          <w:p w14:paraId="12F8C8CE" w14:textId="77777777" w:rsidR="003D7B1F" w:rsidRPr="009C6EED" w:rsidRDefault="003D7B1F">
            <w:pPr>
              <w:pStyle w:val="NormalWeb"/>
              <w:spacing w:before="0" w:beforeAutospacing="0" w:after="0" w:afterAutospacing="0"/>
              <w:jc w:val="both"/>
            </w:pPr>
          </w:p>
        </w:tc>
        <w:tc>
          <w:tcPr>
            <w:tcW w:w="3325" w:type="dxa"/>
          </w:tcPr>
          <w:p w14:paraId="6D3C507D" w14:textId="77777777" w:rsidR="003D7B1F" w:rsidRPr="009C6EED" w:rsidRDefault="003D7B1F">
            <w:pPr>
              <w:pStyle w:val="NormalWeb"/>
              <w:spacing w:before="0" w:beforeAutospacing="0" w:after="0" w:afterAutospacing="0"/>
              <w:jc w:val="both"/>
            </w:pPr>
          </w:p>
        </w:tc>
        <w:tc>
          <w:tcPr>
            <w:tcW w:w="1095" w:type="dxa"/>
          </w:tcPr>
          <w:p w14:paraId="3DE8BA74" w14:textId="77777777" w:rsidR="003D7B1F" w:rsidRPr="009C6EED" w:rsidRDefault="003D7B1F">
            <w:pPr>
              <w:pStyle w:val="NormalWeb"/>
              <w:spacing w:before="0" w:beforeAutospacing="0" w:after="0" w:afterAutospacing="0"/>
              <w:jc w:val="both"/>
            </w:pPr>
          </w:p>
        </w:tc>
        <w:tc>
          <w:tcPr>
            <w:tcW w:w="1700" w:type="dxa"/>
          </w:tcPr>
          <w:p w14:paraId="2445D579" w14:textId="77777777" w:rsidR="003D7B1F" w:rsidRPr="009C6EED" w:rsidRDefault="003D7B1F">
            <w:pPr>
              <w:pStyle w:val="NormalWeb"/>
              <w:spacing w:before="0" w:beforeAutospacing="0" w:after="0" w:afterAutospacing="0"/>
              <w:jc w:val="both"/>
            </w:pPr>
          </w:p>
        </w:tc>
      </w:tr>
      <w:tr w:rsidR="003D7B1F" w:rsidRPr="009C6EED" w14:paraId="2A66DA70" w14:textId="77777777" w:rsidTr="00E80DF8">
        <w:trPr>
          <w:trHeight w:val="300"/>
        </w:trPr>
        <w:tc>
          <w:tcPr>
            <w:tcW w:w="2335" w:type="dxa"/>
          </w:tcPr>
          <w:p w14:paraId="36F03479" w14:textId="32C7DB26" w:rsidR="003D7B1F" w:rsidRPr="00E042F7" w:rsidRDefault="003D7B1F" w:rsidP="003F23AD">
            <w:pPr>
              <w:pStyle w:val="NormalWeb"/>
              <w:spacing w:before="0" w:beforeAutospacing="0" w:after="0" w:afterAutospacing="0"/>
              <w:jc w:val="center"/>
              <w:rPr>
                <w:sz w:val="22"/>
                <w:szCs w:val="22"/>
              </w:rPr>
            </w:pPr>
            <w:r w:rsidRPr="003F23AD">
              <w:rPr>
                <w:b/>
                <w:szCs w:val="28"/>
              </w:rPr>
              <w:t>Total receiving IWT</w:t>
            </w:r>
          </w:p>
        </w:tc>
        <w:tc>
          <w:tcPr>
            <w:tcW w:w="1170" w:type="dxa"/>
          </w:tcPr>
          <w:p w14:paraId="3819CF63" w14:textId="77777777" w:rsidR="003D7B1F" w:rsidRPr="009C6EED" w:rsidRDefault="003D7B1F" w:rsidP="003D7B1F">
            <w:pPr>
              <w:pStyle w:val="NormalWeb"/>
              <w:spacing w:before="0" w:beforeAutospacing="0" w:after="0" w:afterAutospacing="0"/>
              <w:jc w:val="both"/>
            </w:pPr>
          </w:p>
        </w:tc>
        <w:tc>
          <w:tcPr>
            <w:tcW w:w="3325" w:type="dxa"/>
          </w:tcPr>
          <w:p w14:paraId="5135E31A" w14:textId="77777777" w:rsidR="003D7B1F" w:rsidRPr="009C6EED" w:rsidRDefault="003D7B1F" w:rsidP="003D7B1F">
            <w:pPr>
              <w:pStyle w:val="NormalWeb"/>
              <w:spacing w:before="0" w:beforeAutospacing="0" w:after="0" w:afterAutospacing="0"/>
              <w:jc w:val="both"/>
            </w:pPr>
          </w:p>
        </w:tc>
        <w:tc>
          <w:tcPr>
            <w:tcW w:w="1095" w:type="dxa"/>
          </w:tcPr>
          <w:p w14:paraId="1B5649FE" w14:textId="77777777" w:rsidR="003D7B1F" w:rsidRPr="009C6EED" w:rsidRDefault="003D7B1F" w:rsidP="003D7B1F">
            <w:pPr>
              <w:pStyle w:val="NormalWeb"/>
              <w:spacing w:before="0" w:beforeAutospacing="0" w:after="0" w:afterAutospacing="0"/>
              <w:jc w:val="both"/>
            </w:pPr>
          </w:p>
        </w:tc>
        <w:tc>
          <w:tcPr>
            <w:tcW w:w="1700" w:type="dxa"/>
          </w:tcPr>
          <w:p w14:paraId="58615E2D" w14:textId="77777777" w:rsidR="003D7B1F" w:rsidRPr="009C6EED" w:rsidRDefault="003D7B1F" w:rsidP="003D7B1F">
            <w:pPr>
              <w:pStyle w:val="NormalWeb"/>
              <w:spacing w:before="0" w:beforeAutospacing="0" w:after="0" w:afterAutospacing="0"/>
              <w:jc w:val="both"/>
            </w:pPr>
          </w:p>
        </w:tc>
      </w:tr>
      <w:tr w:rsidR="003D7B1F" w:rsidRPr="009C6EED" w14:paraId="1BDA96BC" w14:textId="77777777" w:rsidTr="00E80DF8">
        <w:trPr>
          <w:trHeight w:val="300"/>
        </w:trPr>
        <w:tc>
          <w:tcPr>
            <w:tcW w:w="2335" w:type="dxa"/>
          </w:tcPr>
          <w:p w14:paraId="6ADD636D" w14:textId="0F8C1172" w:rsidR="003D7B1F" w:rsidRPr="00E042F7" w:rsidRDefault="003D7B1F" w:rsidP="003F23AD">
            <w:pPr>
              <w:pStyle w:val="NormalWeb"/>
              <w:spacing w:before="0" w:beforeAutospacing="0" w:after="0" w:afterAutospacing="0"/>
              <w:jc w:val="both"/>
              <w:rPr>
                <w:sz w:val="22"/>
                <w:szCs w:val="22"/>
              </w:rPr>
            </w:pPr>
            <w:r w:rsidRPr="003F23AD">
              <w:t>Approved Vendor Travel (if applicable)</w:t>
            </w:r>
          </w:p>
        </w:tc>
        <w:tc>
          <w:tcPr>
            <w:tcW w:w="1170" w:type="dxa"/>
          </w:tcPr>
          <w:p w14:paraId="030F2574" w14:textId="77777777" w:rsidR="003D7B1F" w:rsidRPr="009C6EED" w:rsidRDefault="003D7B1F" w:rsidP="003D7B1F">
            <w:pPr>
              <w:pStyle w:val="NormalWeb"/>
              <w:spacing w:before="0" w:beforeAutospacing="0" w:after="0" w:afterAutospacing="0"/>
              <w:jc w:val="both"/>
            </w:pPr>
          </w:p>
        </w:tc>
        <w:tc>
          <w:tcPr>
            <w:tcW w:w="3325" w:type="dxa"/>
          </w:tcPr>
          <w:p w14:paraId="4A3C32A6" w14:textId="29B0EA09" w:rsidR="003D7B1F" w:rsidRPr="009C6EED" w:rsidRDefault="003D7B1F" w:rsidP="003D7B1F">
            <w:pPr>
              <w:pStyle w:val="NormalWeb"/>
              <w:spacing w:before="0" w:beforeAutospacing="0" w:after="0" w:afterAutospacing="0"/>
              <w:jc w:val="both"/>
            </w:pPr>
          </w:p>
        </w:tc>
        <w:tc>
          <w:tcPr>
            <w:tcW w:w="1095" w:type="dxa"/>
          </w:tcPr>
          <w:p w14:paraId="3C257250" w14:textId="77777777" w:rsidR="003D7B1F" w:rsidRPr="009C6EED" w:rsidRDefault="003D7B1F" w:rsidP="003D7B1F">
            <w:pPr>
              <w:pStyle w:val="NormalWeb"/>
              <w:spacing w:before="0" w:beforeAutospacing="0" w:after="0" w:afterAutospacing="0"/>
              <w:jc w:val="both"/>
            </w:pPr>
          </w:p>
        </w:tc>
        <w:tc>
          <w:tcPr>
            <w:tcW w:w="1700" w:type="dxa"/>
          </w:tcPr>
          <w:p w14:paraId="026FF36F" w14:textId="6BA88C90" w:rsidR="003D7B1F" w:rsidRPr="009C6EED" w:rsidRDefault="003D7B1F" w:rsidP="003D7B1F">
            <w:pPr>
              <w:pStyle w:val="NormalWeb"/>
              <w:spacing w:before="0" w:beforeAutospacing="0" w:after="0" w:afterAutospacing="0"/>
              <w:jc w:val="both"/>
            </w:pPr>
          </w:p>
        </w:tc>
      </w:tr>
      <w:tr w:rsidR="003D7B1F" w:rsidRPr="009C6EED" w14:paraId="02C60500" w14:textId="77777777" w:rsidTr="00E80DF8">
        <w:trPr>
          <w:trHeight w:val="300"/>
        </w:trPr>
        <w:tc>
          <w:tcPr>
            <w:tcW w:w="2335" w:type="dxa"/>
          </w:tcPr>
          <w:p w14:paraId="360DD841" w14:textId="6B1E3372" w:rsidR="003D7B1F" w:rsidRPr="00E042F7" w:rsidRDefault="003D7B1F" w:rsidP="003F23AD">
            <w:pPr>
              <w:pStyle w:val="NormalWeb"/>
              <w:spacing w:before="0" w:beforeAutospacing="0" w:after="0" w:afterAutospacing="0"/>
              <w:jc w:val="both"/>
              <w:rPr>
                <w:sz w:val="22"/>
                <w:szCs w:val="22"/>
              </w:rPr>
            </w:pPr>
            <w:r w:rsidRPr="003F23AD">
              <w:t>Company Employee Travel (if applicable)</w:t>
            </w:r>
          </w:p>
        </w:tc>
        <w:tc>
          <w:tcPr>
            <w:tcW w:w="1170" w:type="dxa"/>
          </w:tcPr>
          <w:p w14:paraId="29C2729B" w14:textId="77777777" w:rsidR="003D7B1F" w:rsidRPr="009C6EED" w:rsidRDefault="003D7B1F" w:rsidP="003D7B1F">
            <w:pPr>
              <w:pStyle w:val="NormalWeb"/>
              <w:spacing w:before="0" w:beforeAutospacing="0" w:after="0" w:afterAutospacing="0"/>
              <w:jc w:val="both"/>
            </w:pPr>
          </w:p>
        </w:tc>
        <w:tc>
          <w:tcPr>
            <w:tcW w:w="3325" w:type="dxa"/>
          </w:tcPr>
          <w:p w14:paraId="4C2E0CAE" w14:textId="2BBDC1D9" w:rsidR="003D7B1F" w:rsidRPr="009C6EED" w:rsidRDefault="003D7B1F" w:rsidP="003D7B1F">
            <w:pPr>
              <w:pStyle w:val="NormalWeb"/>
              <w:spacing w:before="0" w:beforeAutospacing="0" w:after="0" w:afterAutospacing="0"/>
              <w:jc w:val="both"/>
            </w:pPr>
          </w:p>
        </w:tc>
        <w:tc>
          <w:tcPr>
            <w:tcW w:w="1095" w:type="dxa"/>
          </w:tcPr>
          <w:p w14:paraId="200AC786" w14:textId="77777777" w:rsidR="003D7B1F" w:rsidRPr="009C6EED" w:rsidRDefault="003D7B1F" w:rsidP="003D7B1F">
            <w:pPr>
              <w:pStyle w:val="NormalWeb"/>
              <w:spacing w:before="0" w:beforeAutospacing="0" w:after="0" w:afterAutospacing="0"/>
              <w:jc w:val="both"/>
            </w:pPr>
          </w:p>
        </w:tc>
        <w:tc>
          <w:tcPr>
            <w:tcW w:w="1700" w:type="dxa"/>
          </w:tcPr>
          <w:p w14:paraId="1DA94B9A" w14:textId="6D097CEF" w:rsidR="003D7B1F" w:rsidRPr="009C6EED" w:rsidRDefault="003D7B1F" w:rsidP="003D7B1F">
            <w:pPr>
              <w:pStyle w:val="NormalWeb"/>
              <w:spacing w:before="0" w:beforeAutospacing="0" w:after="0" w:afterAutospacing="0"/>
              <w:jc w:val="both"/>
            </w:pPr>
          </w:p>
        </w:tc>
      </w:tr>
      <w:tr w:rsidR="003D7B1F" w:rsidRPr="009C6EED" w14:paraId="39974F4D" w14:textId="77777777" w:rsidTr="00E80DF8">
        <w:trPr>
          <w:trHeight w:val="300"/>
        </w:trPr>
        <w:tc>
          <w:tcPr>
            <w:tcW w:w="2335" w:type="dxa"/>
          </w:tcPr>
          <w:p w14:paraId="01BA915E" w14:textId="4099929E" w:rsidR="003D7B1F" w:rsidRPr="00E042F7" w:rsidRDefault="003D7B1F" w:rsidP="00E80DF8">
            <w:pPr>
              <w:pStyle w:val="NormalWeb"/>
              <w:spacing w:before="0" w:beforeAutospacing="0" w:after="0" w:afterAutospacing="0"/>
              <w:rPr>
                <w:sz w:val="22"/>
                <w:szCs w:val="22"/>
              </w:rPr>
            </w:pPr>
            <w:r w:rsidRPr="003F23AD">
              <w:t>Approved Vendor Materials</w:t>
            </w:r>
            <w:r w:rsidR="007B44DD">
              <w:t xml:space="preserve"> </w:t>
            </w:r>
            <w:r w:rsidRPr="003F23AD">
              <w:t>and Supplies</w:t>
            </w:r>
          </w:p>
        </w:tc>
        <w:tc>
          <w:tcPr>
            <w:tcW w:w="1170" w:type="dxa"/>
          </w:tcPr>
          <w:p w14:paraId="4157AE79" w14:textId="77777777" w:rsidR="003D7B1F" w:rsidRPr="009C6EED" w:rsidRDefault="003D7B1F" w:rsidP="003D7B1F">
            <w:pPr>
              <w:pStyle w:val="NormalWeb"/>
              <w:spacing w:before="0" w:beforeAutospacing="0" w:after="0" w:afterAutospacing="0"/>
              <w:jc w:val="both"/>
            </w:pPr>
          </w:p>
        </w:tc>
        <w:tc>
          <w:tcPr>
            <w:tcW w:w="3325" w:type="dxa"/>
          </w:tcPr>
          <w:p w14:paraId="6D6777BF" w14:textId="074A1D6E" w:rsidR="003D7B1F" w:rsidRPr="009C6EED" w:rsidRDefault="003D7B1F" w:rsidP="003D7B1F">
            <w:pPr>
              <w:pStyle w:val="NormalWeb"/>
              <w:spacing w:before="0" w:beforeAutospacing="0" w:after="0" w:afterAutospacing="0"/>
              <w:jc w:val="both"/>
            </w:pPr>
          </w:p>
        </w:tc>
        <w:tc>
          <w:tcPr>
            <w:tcW w:w="1095" w:type="dxa"/>
          </w:tcPr>
          <w:p w14:paraId="062F1F97" w14:textId="77777777" w:rsidR="003D7B1F" w:rsidRPr="009C6EED" w:rsidRDefault="003D7B1F" w:rsidP="003D7B1F">
            <w:pPr>
              <w:pStyle w:val="NormalWeb"/>
              <w:spacing w:before="0" w:beforeAutospacing="0" w:after="0" w:afterAutospacing="0"/>
              <w:jc w:val="both"/>
            </w:pPr>
          </w:p>
        </w:tc>
        <w:tc>
          <w:tcPr>
            <w:tcW w:w="1700" w:type="dxa"/>
          </w:tcPr>
          <w:p w14:paraId="3569DEDB" w14:textId="41481A8B" w:rsidR="003D7B1F" w:rsidRPr="009C6EED" w:rsidRDefault="003D7B1F" w:rsidP="003D7B1F">
            <w:pPr>
              <w:pStyle w:val="NormalWeb"/>
              <w:spacing w:before="0" w:beforeAutospacing="0" w:after="0" w:afterAutospacing="0"/>
              <w:jc w:val="both"/>
            </w:pPr>
          </w:p>
        </w:tc>
      </w:tr>
      <w:tr w:rsidR="003D7B1F" w:rsidRPr="009C6EED" w14:paraId="3CC91E96" w14:textId="77777777" w:rsidTr="00E80DF8">
        <w:trPr>
          <w:trHeight w:val="300"/>
        </w:trPr>
        <w:tc>
          <w:tcPr>
            <w:tcW w:w="2335" w:type="dxa"/>
          </w:tcPr>
          <w:p w14:paraId="7CCA0B58" w14:textId="3E9C9E7B" w:rsidR="003D7B1F" w:rsidRPr="00E042F7" w:rsidRDefault="003D7B1F" w:rsidP="00E80DF8">
            <w:pPr>
              <w:pStyle w:val="NormalWeb"/>
              <w:spacing w:before="0" w:beforeAutospacing="0" w:after="0" w:afterAutospacing="0"/>
              <w:rPr>
                <w:sz w:val="22"/>
                <w:szCs w:val="22"/>
              </w:rPr>
            </w:pPr>
            <w:r w:rsidRPr="003F23AD">
              <w:t>Local Area Administrative Fee**</w:t>
            </w:r>
          </w:p>
        </w:tc>
        <w:tc>
          <w:tcPr>
            <w:tcW w:w="1170" w:type="dxa"/>
          </w:tcPr>
          <w:p w14:paraId="18970E10" w14:textId="4954E451" w:rsidR="003D7B1F" w:rsidRPr="009C6EED" w:rsidRDefault="003D7B1F" w:rsidP="003D7B1F">
            <w:pPr>
              <w:pStyle w:val="NormalWeb"/>
              <w:spacing w:before="0" w:beforeAutospacing="0" w:after="0" w:afterAutospacing="0"/>
              <w:jc w:val="both"/>
            </w:pPr>
          </w:p>
        </w:tc>
        <w:tc>
          <w:tcPr>
            <w:tcW w:w="3325" w:type="dxa"/>
          </w:tcPr>
          <w:p w14:paraId="6E222F05" w14:textId="58C7DB4E" w:rsidR="003D7B1F" w:rsidRPr="009C6EED" w:rsidRDefault="003D7B1F" w:rsidP="003D7B1F">
            <w:pPr>
              <w:pStyle w:val="NormalWeb"/>
              <w:spacing w:before="0" w:beforeAutospacing="0" w:after="0" w:afterAutospacing="0"/>
              <w:jc w:val="both"/>
            </w:pPr>
          </w:p>
        </w:tc>
        <w:tc>
          <w:tcPr>
            <w:tcW w:w="1095" w:type="dxa"/>
          </w:tcPr>
          <w:p w14:paraId="2647E55F" w14:textId="0260D5A1" w:rsidR="003D7B1F" w:rsidRPr="009C6EED" w:rsidRDefault="003D7B1F" w:rsidP="003D7B1F">
            <w:pPr>
              <w:pStyle w:val="NormalWeb"/>
              <w:spacing w:before="0" w:beforeAutospacing="0" w:after="0" w:afterAutospacing="0"/>
              <w:jc w:val="both"/>
            </w:pPr>
          </w:p>
        </w:tc>
        <w:tc>
          <w:tcPr>
            <w:tcW w:w="1700" w:type="dxa"/>
          </w:tcPr>
          <w:p w14:paraId="3072BCFE" w14:textId="5442EB40" w:rsidR="003D7B1F" w:rsidRPr="009C6EED" w:rsidRDefault="003D7B1F" w:rsidP="003D7B1F">
            <w:pPr>
              <w:pStyle w:val="NormalWeb"/>
              <w:spacing w:before="0" w:beforeAutospacing="0" w:after="0" w:afterAutospacing="0"/>
              <w:jc w:val="both"/>
            </w:pPr>
          </w:p>
        </w:tc>
      </w:tr>
      <w:tr w:rsidR="003D7B1F" w:rsidRPr="009C6EED" w14:paraId="1E36FD83" w14:textId="77777777" w:rsidTr="00E80DF8">
        <w:trPr>
          <w:trHeight w:val="300"/>
        </w:trPr>
        <w:tc>
          <w:tcPr>
            <w:tcW w:w="2335" w:type="dxa"/>
          </w:tcPr>
          <w:p w14:paraId="0AA730D2" w14:textId="77777777" w:rsidR="003D7B1F" w:rsidRPr="00E042F7" w:rsidRDefault="003D7B1F" w:rsidP="003F23AD">
            <w:pPr>
              <w:pStyle w:val="NormalWeb"/>
              <w:spacing w:before="0" w:beforeAutospacing="0" w:after="0" w:afterAutospacing="0"/>
              <w:jc w:val="both"/>
              <w:rPr>
                <w:sz w:val="22"/>
                <w:szCs w:val="22"/>
              </w:rPr>
            </w:pPr>
            <w:r w:rsidRPr="003F23AD">
              <w:t>Other Expenses – please specify</w:t>
            </w:r>
          </w:p>
        </w:tc>
        <w:tc>
          <w:tcPr>
            <w:tcW w:w="1170" w:type="dxa"/>
          </w:tcPr>
          <w:p w14:paraId="1080DFD4" w14:textId="77777777" w:rsidR="003D7B1F" w:rsidRPr="009C6EED" w:rsidRDefault="003D7B1F" w:rsidP="003D7B1F">
            <w:pPr>
              <w:pStyle w:val="NormalWeb"/>
              <w:spacing w:before="0" w:beforeAutospacing="0" w:after="0" w:afterAutospacing="0"/>
              <w:jc w:val="both"/>
            </w:pPr>
          </w:p>
        </w:tc>
        <w:tc>
          <w:tcPr>
            <w:tcW w:w="3325" w:type="dxa"/>
          </w:tcPr>
          <w:p w14:paraId="4B0890FA" w14:textId="70E807D1" w:rsidR="003D7B1F" w:rsidRPr="009C6EED" w:rsidRDefault="003D7B1F" w:rsidP="003D7B1F">
            <w:pPr>
              <w:pStyle w:val="NormalWeb"/>
              <w:spacing w:before="0" w:beforeAutospacing="0" w:after="0" w:afterAutospacing="0"/>
              <w:jc w:val="both"/>
            </w:pPr>
          </w:p>
        </w:tc>
        <w:tc>
          <w:tcPr>
            <w:tcW w:w="1095" w:type="dxa"/>
          </w:tcPr>
          <w:p w14:paraId="567D5F45" w14:textId="77777777" w:rsidR="003D7B1F" w:rsidRPr="009C6EED" w:rsidRDefault="003D7B1F" w:rsidP="003D7B1F">
            <w:pPr>
              <w:pStyle w:val="NormalWeb"/>
              <w:spacing w:before="0" w:beforeAutospacing="0" w:after="0" w:afterAutospacing="0"/>
              <w:jc w:val="both"/>
            </w:pPr>
          </w:p>
        </w:tc>
        <w:tc>
          <w:tcPr>
            <w:tcW w:w="1700" w:type="dxa"/>
          </w:tcPr>
          <w:p w14:paraId="22AE9280" w14:textId="6FC43DA2" w:rsidR="003D7B1F" w:rsidRPr="009C6EED" w:rsidRDefault="003D7B1F" w:rsidP="003D7B1F">
            <w:pPr>
              <w:pStyle w:val="NormalWeb"/>
              <w:spacing w:before="0" w:beforeAutospacing="0" w:after="0" w:afterAutospacing="0"/>
              <w:jc w:val="both"/>
            </w:pPr>
          </w:p>
        </w:tc>
      </w:tr>
      <w:tr w:rsidR="003D7B1F" w:rsidRPr="009C6EED" w14:paraId="1B32E4FF" w14:textId="77777777" w:rsidTr="00E80DF8">
        <w:trPr>
          <w:trHeight w:val="300"/>
        </w:trPr>
        <w:tc>
          <w:tcPr>
            <w:tcW w:w="2335" w:type="dxa"/>
          </w:tcPr>
          <w:p w14:paraId="36E52B8F" w14:textId="1EAB81FF" w:rsidR="003D7B1F" w:rsidRPr="009C6EED" w:rsidRDefault="003D7B1F" w:rsidP="003F23AD">
            <w:pPr>
              <w:pStyle w:val="NormalWeb"/>
              <w:spacing w:before="0" w:beforeAutospacing="0" w:after="0" w:afterAutospacing="0"/>
            </w:pPr>
            <w:r w:rsidRPr="009C6EED">
              <w:rPr>
                <w:b/>
              </w:rPr>
              <w:t>Total</w:t>
            </w:r>
            <w:r>
              <w:rPr>
                <w:b/>
              </w:rPr>
              <w:t>s</w:t>
            </w:r>
          </w:p>
        </w:tc>
        <w:tc>
          <w:tcPr>
            <w:tcW w:w="1170" w:type="dxa"/>
          </w:tcPr>
          <w:p w14:paraId="2142ABD3" w14:textId="77777777" w:rsidR="003D7B1F" w:rsidRPr="009C6EED" w:rsidRDefault="003D7B1F" w:rsidP="003D7B1F">
            <w:pPr>
              <w:pStyle w:val="NormalWeb"/>
              <w:spacing w:before="0" w:beforeAutospacing="0" w:after="0" w:afterAutospacing="0"/>
              <w:jc w:val="right"/>
              <w:rPr>
                <w:b/>
              </w:rPr>
            </w:pPr>
          </w:p>
        </w:tc>
        <w:tc>
          <w:tcPr>
            <w:tcW w:w="3325" w:type="dxa"/>
          </w:tcPr>
          <w:p w14:paraId="6A97BEEB" w14:textId="3940D5EB" w:rsidR="003D7B1F" w:rsidRPr="009C6EED" w:rsidRDefault="003D7B1F" w:rsidP="003D7B1F">
            <w:pPr>
              <w:pStyle w:val="NormalWeb"/>
              <w:spacing w:before="0" w:beforeAutospacing="0" w:after="0" w:afterAutospacing="0"/>
              <w:jc w:val="right"/>
              <w:rPr>
                <w:b/>
                <w:i/>
              </w:rPr>
            </w:pPr>
          </w:p>
        </w:tc>
        <w:tc>
          <w:tcPr>
            <w:tcW w:w="1095" w:type="dxa"/>
          </w:tcPr>
          <w:p w14:paraId="4A246741" w14:textId="77777777" w:rsidR="003D7B1F" w:rsidRPr="009C6EED" w:rsidRDefault="003D7B1F" w:rsidP="003D7B1F">
            <w:pPr>
              <w:pStyle w:val="NormalWeb"/>
              <w:spacing w:before="0" w:beforeAutospacing="0" w:after="0" w:afterAutospacing="0"/>
              <w:jc w:val="both"/>
            </w:pPr>
          </w:p>
        </w:tc>
        <w:tc>
          <w:tcPr>
            <w:tcW w:w="1700" w:type="dxa"/>
          </w:tcPr>
          <w:p w14:paraId="5A842957" w14:textId="3A2C2216" w:rsidR="003D7B1F" w:rsidRPr="009C6EED" w:rsidRDefault="003D7B1F" w:rsidP="003D7B1F">
            <w:pPr>
              <w:pStyle w:val="NormalWeb"/>
              <w:spacing w:before="0" w:beforeAutospacing="0" w:after="0" w:afterAutospacing="0"/>
              <w:jc w:val="both"/>
            </w:pPr>
          </w:p>
        </w:tc>
      </w:tr>
    </w:tbl>
    <w:p w14:paraId="39AB23E7" w14:textId="758D1E6B" w:rsidR="002E29BD" w:rsidRDefault="002E29BD" w:rsidP="002E29BD">
      <w:pPr>
        <w:pStyle w:val="NormalWeb"/>
        <w:spacing w:before="0" w:beforeAutospacing="0" w:after="0" w:afterAutospacing="0"/>
        <w:rPr>
          <w:b/>
        </w:rPr>
      </w:pPr>
    </w:p>
    <w:p w14:paraId="25F3B33F" w14:textId="6B49BCC0" w:rsidR="00194179" w:rsidRPr="003D7B1F" w:rsidRDefault="002E29BD" w:rsidP="007B44DD">
      <w:pPr>
        <w:pStyle w:val="NormalWeb"/>
        <w:spacing w:before="0" w:beforeAutospacing="0" w:after="0" w:afterAutospacing="0"/>
        <w:jc w:val="both"/>
        <w:rPr>
          <w:b/>
          <w:sz w:val="22"/>
        </w:rPr>
      </w:pPr>
      <w:r w:rsidRPr="006768E4">
        <w:rPr>
          <w:iCs/>
          <w:szCs w:val="28"/>
        </w:rPr>
        <w:t xml:space="preserve">* </w:t>
      </w:r>
      <w:r w:rsidRPr="006768E4">
        <w:rPr>
          <w:b/>
          <w:bCs/>
          <w:iCs/>
          <w:szCs w:val="28"/>
        </w:rPr>
        <w:t>NOTE</w:t>
      </w:r>
      <w:r w:rsidR="00001594" w:rsidRPr="006768E4">
        <w:rPr>
          <w:b/>
          <w:bCs/>
          <w:iCs/>
          <w:szCs w:val="28"/>
        </w:rPr>
        <w:t>S</w:t>
      </w:r>
      <w:r w:rsidRPr="006768E4">
        <w:rPr>
          <w:iCs/>
          <w:szCs w:val="28"/>
        </w:rPr>
        <w:t>:</w:t>
      </w:r>
      <w:r w:rsidRPr="003D7B1F">
        <w:rPr>
          <w:iCs/>
          <w:sz w:val="22"/>
        </w:rPr>
        <w:t xml:space="preserve"> </w:t>
      </w:r>
      <w:r w:rsidRPr="006768E4">
        <w:rPr>
          <w:iCs/>
          <w:szCs w:val="28"/>
        </w:rPr>
        <w:t>WDBs will utilize local OJT/IWT policies in the expenditure of these funds</w:t>
      </w:r>
      <w:r w:rsidR="002C2FD1" w:rsidRPr="006768E4">
        <w:rPr>
          <w:iCs/>
          <w:szCs w:val="28"/>
        </w:rPr>
        <w:t xml:space="preserve"> and should state if the OJT is for 50% or 75% of the salary.</w:t>
      </w:r>
    </w:p>
    <w:p w14:paraId="35D8E7A8" w14:textId="2F2A0A03" w:rsidR="003E6CDD" w:rsidRDefault="003E6CDD" w:rsidP="30621045">
      <w:pPr>
        <w:pStyle w:val="NormalWeb"/>
        <w:spacing w:before="0" w:beforeAutospacing="0" w:after="0" w:afterAutospacing="0"/>
        <w:ind w:left="90" w:hanging="90"/>
        <w:jc w:val="both"/>
      </w:pPr>
      <w:r w:rsidRPr="30621045">
        <w:rPr>
          <w:vertAlign w:val="superscript"/>
        </w:rPr>
        <w:t>1</w:t>
      </w:r>
      <w:r>
        <w:t xml:space="preserve"> All individual participants must be </w:t>
      </w:r>
      <w:r w:rsidR="00676961">
        <w:t xml:space="preserve">registered in </w:t>
      </w:r>
      <w:r w:rsidR="009A749B">
        <w:t xml:space="preserve">the </w:t>
      </w:r>
      <w:r w:rsidR="00676961">
        <w:t xml:space="preserve">NCWorks Online </w:t>
      </w:r>
      <w:r w:rsidR="00346B10">
        <w:t xml:space="preserve">system </w:t>
      </w:r>
      <w:r w:rsidR="00676961">
        <w:t xml:space="preserve">per </w:t>
      </w:r>
      <w:r w:rsidR="1BBA65C9">
        <w:t>US Department of Labor</w:t>
      </w:r>
      <w:r w:rsidR="00676961">
        <w:t xml:space="preserve"> </w:t>
      </w:r>
      <w:r w:rsidR="5A44C77F">
        <w:t>regulations</w:t>
      </w:r>
      <w:r w:rsidR="00676961">
        <w:t xml:space="preserve"> and </w:t>
      </w:r>
      <w:r w:rsidR="0C97AF3D">
        <w:t xml:space="preserve">State </w:t>
      </w:r>
      <w:r w:rsidR="00676961">
        <w:t>policies.</w:t>
      </w:r>
      <w:r w:rsidR="006B0FD0">
        <w:t xml:space="preserve"> In addition, all employers must be </w:t>
      </w:r>
      <w:r w:rsidR="00F53031">
        <w:t>recorded</w:t>
      </w:r>
      <w:r w:rsidR="00B34A71">
        <w:t xml:space="preserve"> as receiving OJT, IWT</w:t>
      </w:r>
      <w:r w:rsidR="009A749B">
        <w:t>,</w:t>
      </w:r>
      <w:r w:rsidR="00B34A71">
        <w:t xml:space="preserve"> and economic development services within an appropriate</w:t>
      </w:r>
      <w:r w:rsidR="009F5789">
        <w:t xml:space="preserve"> on</w:t>
      </w:r>
      <w:r w:rsidR="003B1E27">
        <w:t>l</w:t>
      </w:r>
      <w:r w:rsidR="009F5789">
        <w:t xml:space="preserve">ine reporting system. </w:t>
      </w:r>
    </w:p>
    <w:p w14:paraId="523AF4BC" w14:textId="229EAD78" w:rsidR="001827E3" w:rsidRPr="006768E4" w:rsidRDefault="001827E3" w:rsidP="00E80DF8">
      <w:pPr>
        <w:pStyle w:val="NormalWeb"/>
        <w:spacing w:before="0" w:beforeAutospacing="0" w:after="0" w:afterAutospacing="0"/>
        <w:ind w:left="90" w:hanging="90"/>
        <w:jc w:val="both"/>
      </w:pPr>
      <w:r>
        <w:t xml:space="preserve">**Up to 5% of the total grant award can be used for </w:t>
      </w:r>
      <w:r w:rsidR="00E80DF8">
        <w:t>the WDB’s</w:t>
      </w:r>
      <w:r>
        <w:t xml:space="preserve"> Administrative Fee.</w:t>
      </w:r>
    </w:p>
    <w:p w14:paraId="49EF6FA9" w14:textId="77777777" w:rsidR="001827E3" w:rsidRPr="006768E4" w:rsidRDefault="001827E3" w:rsidP="002C2FD1">
      <w:pPr>
        <w:pStyle w:val="NormalWeb"/>
        <w:spacing w:before="0" w:beforeAutospacing="0" w:after="0" w:afterAutospacing="0"/>
        <w:ind w:left="90" w:hanging="90"/>
        <w:jc w:val="both"/>
        <w:rPr>
          <w:szCs w:val="28"/>
        </w:rPr>
      </w:pPr>
    </w:p>
    <w:p w14:paraId="1810595C" w14:textId="0839CB79" w:rsidR="000F4D2E" w:rsidRDefault="000F4D2E" w:rsidP="000F4D2E">
      <w:pPr>
        <w:pStyle w:val="NormalWeb"/>
        <w:spacing w:before="0" w:beforeAutospacing="0" w:after="0" w:afterAutospacing="0"/>
        <w:jc w:val="center"/>
        <w:rPr>
          <w:b/>
        </w:rPr>
      </w:pPr>
    </w:p>
    <w:p w14:paraId="4640D1E6" w14:textId="1B7151EB" w:rsidR="000418E1" w:rsidRPr="006768E4" w:rsidRDefault="00456111" w:rsidP="000418E1">
      <w:pPr>
        <w:rPr>
          <w:b/>
          <w:sz w:val="24"/>
          <w:szCs w:val="24"/>
        </w:rPr>
      </w:pPr>
      <w:r w:rsidRPr="006768E4">
        <w:rPr>
          <w:b/>
          <w:sz w:val="24"/>
          <w:szCs w:val="24"/>
        </w:rPr>
        <w:t>Grant awards are based on funding availability</w:t>
      </w:r>
      <w:r w:rsidR="003A4D74" w:rsidRPr="006768E4">
        <w:rPr>
          <w:b/>
          <w:sz w:val="24"/>
          <w:szCs w:val="24"/>
        </w:rPr>
        <w:t>.</w:t>
      </w:r>
    </w:p>
    <w:p w14:paraId="3B294615" w14:textId="77777777" w:rsidR="00B37000" w:rsidRDefault="00B37000" w:rsidP="000418E1">
      <w:pPr>
        <w:sectPr w:rsidR="00B37000" w:rsidSect="000418E1">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267" w:left="1440" w:header="720" w:footer="720" w:gutter="0"/>
          <w:cols w:space="720"/>
          <w:titlePg/>
          <w:docGrid w:linePitch="360"/>
        </w:sectPr>
      </w:pPr>
    </w:p>
    <w:p w14:paraId="41361360" w14:textId="691CA19B" w:rsidR="000F4D2E" w:rsidRPr="009C6EED" w:rsidRDefault="00497695" w:rsidP="30621045">
      <w:pPr>
        <w:jc w:val="center"/>
        <w:rPr>
          <w:rFonts w:eastAsia="Calibri"/>
          <w:b/>
          <w:bCs/>
          <w:sz w:val="28"/>
          <w:szCs w:val="28"/>
        </w:rPr>
      </w:pPr>
      <w:r w:rsidRPr="30621045">
        <w:rPr>
          <w:rFonts w:eastAsia="Calibri"/>
          <w:b/>
          <w:bCs/>
          <w:sz w:val="28"/>
          <w:szCs w:val="28"/>
        </w:rPr>
        <w:lastRenderedPageBreak/>
        <w:t xml:space="preserve">NC </w:t>
      </w:r>
      <w:r w:rsidR="00BF3163" w:rsidRPr="30621045">
        <w:rPr>
          <w:rFonts w:eastAsia="Calibri"/>
          <w:b/>
          <w:bCs/>
          <w:sz w:val="28"/>
          <w:szCs w:val="28"/>
        </w:rPr>
        <w:t>Job Ready</w:t>
      </w:r>
      <w:r w:rsidR="006579BB" w:rsidRPr="30621045">
        <w:rPr>
          <w:rFonts w:eastAsia="Calibri"/>
          <w:b/>
          <w:bCs/>
          <w:sz w:val="28"/>
          <w:szCs w:val="28"/>
        </w:rPr>
        <w:t xml:space="preserve"> </w:t>
      </w:r>
    </w:p>
    <w:p w14:paraId="00DA3D5F" w14:textId="294D0255" w:rsidR="003A6F5A" w:rsidRDefault="000F4D2E" w:rsidP="00E34EAA">
      <w:pPr>
        <w:pStyle w:val="Heading2"/>
        <w:jc w:val="center"/>
        <w:rPr>
          <w:rFonts w:ascii="Times New Roman" w:eastAsia="Calibri" w:hAnsi="Times New Roman" w:cs="Times New Roman"/>
          <w:b/>
          <w:bCs/>
          <w:color w:val="auto"/>
          <w:sz w:val="28"/>
          <w:szCs w:val="28"/>
        </w:rPr>
      </w:pPr>
      <w:bookmarkStart w:id="18" w:name="_SIGNATURE_PAGE"/>
      <w:bookmarkStart w:id="19" w:name="_Toc454276548"/>
      <w:bookmarkStart w:id="20" w:name="_Toc454352448"/>
      <w:bookmarkEnd w:id="18"/>
      <w:r w:rsidRPr="009C6EED">
        <w:rPr>
          <w:rFonts w:ascii="Times New Roman" w:eastAsia="Calibri" w:hAnsi="Times New Roman" w:cs="Times New Roman"/>
          <w:b/>
          <w:bCs/>
          <w:color w:val="auto"/>
          <w:sz w:val="28"/>
          <w:szCs w:val="28"/>
        </w:rPr>
        <w:t>Signature Page</w:t>
      </w:r>
      <w:bookmarkEnd w:id="19"/>
      <w:bookmarkEnd w:id="20"/>
    </w:p>
    <w:p w14:paraId="0A5F373F" w14:textId="01D7207E" w:rsidR="00E34EAA" w:rsidRDefault="00E34EAA" w:rsidP="00E34EAA">
      <w:pPr>
        <w:rPr>
          <w:rFonts w:eastAsia="Calibri"/>
        </w:rPr>
      </w:pPr>
    </w:p>
    <w:p w14:paraId="35062285" w14:textId="77777777" w:rsidR="00E34EAA" w:rsidRPr="00E34EAA" w:rsidRDefault="00E34EAA" w:rsidP="00E34EAA">
      <w:pPr>
        <w:rPr>
          <w:rFonts w:eastAsia="Calibri"/>
        </w:rPr>
      </w:pPr>
    </w:p>
    <w:p w14:paraId="49A509D8" w14:textId="77777777" w:rsidR="000F4D2E" w:rsidRPr="009C6EED" w:rsidRDefault="000F4D2E" w:rsidP="000F4D2E">
      <w:pPr>
        <w:jc w:val="center"/>
        <w:rPr>
          <w:rFonts w:eastAsia="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4"/>
        <w:gridCol w:w="4656"/>
      </w:tblGrid>
      <w:tr w:rsidR="000F4D2E" w:rsidRPr="009C6EED" w14:paraId="1E599865" w14:textId="77777777">
        <w:tc>
          <w:tcPr>
            <w:tcW w:w="4788" w:type="dxa"/>
          </w:tcPr>
          <w:p w14:paraId="5B77840D" w14:textId="2F0EB959" w:rsidR="000F4D2E" w:rsidRPr="009C6EED" w:rsidRDefault="000F4D2E" w:rsidP="006768E4">
            <w:pPr>
              <w:spacing w:after="80"/>
              <w:jc w:val="both"/>
              <w:rPr>
                <w:b/>
                <w:sz w:val="22"/>
                <w:szCs w:val="22"/>
              </w:rPr>
            </w:pPr>
            <w:r w:rsidRPr="006768E4">
              <w:rPr>
                <w:b/>
                <w:sz w:val="24"/>
                <w:szCs w:val="24"/>
              </w:rPr>
              <w:t xml:space="preserve">Local </w:t>
            </w:r>
            <w:r w:rsidR="0018371E" w:rsidRPr="006768E4">
              <w:rPr>
                <w:b/>
                <w:sz w:val="24"/>
                <w:szCs w:val="24"/>
              </w:rPr>
              <w:t xml:space="preserve">Area </w:t>
            </w:r>
            <w:r w:rsidRPr="006768E4">
              <w:rPr>
                <w:b/>
                <w:sz w:val="24"/>
                <w:szCs w:val="24"/>
              </w:rPr>
              <w:t>Workforce Development Board Name</w:t>
            </w:r>
          </w:p>
        </w:tc>
        <w:tc>
          <w:tcPr>
            <w:tcW w:w="4788" w:type="dxa"/>
          </w:tcPr>
          <w:p w14:paraId="1311C5BC" w14:textId="77777777" w:rsidR="000F4D2E" w:rsidRPr="009C6EED" w:rsidRDefault="000F4D2E">
            <w:pPr>
              <w:spacing w:after="80"/>
              <w:jc w:val="both"/>
              <w:rPr>
                <w:b/>
              </w:rPr>
            </w:pPr>
          </w:p>
          <w:p w14:paraId="2BDB7D10" w14:textId="77777777" w:rsidR="000F4D2E" w:rsidRPr="009C6EED" w:rsidRDefault="000F4D2E">
            <w:pPr>
              <w:spacing w:after="80"/>
              <w:jc w:val="both"/>
              <w:rPr>
                <w:b/>
              </w:rPr>
            </w:pPr>
          </w:p>
        </w:tc>
      </w:tr>
      <w:tr w:rsidR="000F4D2E" w:rsidRPr="009C6EED" w14:paraId="6C6BA10A" w14:textId="77777777">
        <w:tc>
          <w:tcPr>
            <w:tcW w:w="4788" w:type="dxa"/>
          </w:tcPr>
          <w:p w14:paraId="6E381C67" w14:textId="77777777" w:rsidR="000F4D2E" w:rsidRPr="009C6EED" w:rsidRDefault="000F4D2E" w:rsidP="00985394">
            <w:pPr>
              <w:spacing w:after="80"/>
              <w:rPr>
                <w:b/>
                <w:sz w:val="22"/>
                <w:szCs w:val="22"/>
              </w:rPr>
            </w:pPr>
            <w:r w:rsidRPr="006768E4">
              <w:rPr>
                <w:b/>
                <w:sz w:val="24"/>
                <w:szCs w:val="24"/>
              </w:rPr>
              <w:t>Application Contact Person</w:t>
            </w:r>
          </w:p>
        </w:tc>
        <w:tc>
          <w:tcPr>
            <w:tcW w:w="4788" w:type="dxa"/>
          </w:tcPr>
          <w:p w14:paraId="79A680B8" w14:textId="230A2391" w:rsidR="000F4D2E" w:rsidRPr="009C6EED" w:rsidRDefault="000F4D2E">
            <w:pPr>
              <w:spacing w:after="80"/>
              <w:jc w:val="both"/>
              <w:rPr>
                <w:b/>
              </w:rPr>
            </w:pPr>
          </w:p>
          <w:p w14:paraId="03A502DE" w14:textId="77777777" w:rsidR="000F4D2E" w:rsidRPr="009C6EED" w:rsidRDefault="000F4D2E">
            <w:pPr>
              <w:spacing w:after="80"/>
              <w:jc w:val="both"/>
              <w:rPr>
                <w:b/>
              </w:rPr>
            </w:pPr>
          </w:p>
        </w:tc>
      </w:tr>
      <w:tr w:rsidR="000F4D2E" w:rsidRPr="009C6EED" w14:paraId="3FCA08D6" w14:textId="77777777">
        <w:tc>
          <w:tcPr>
            <w:tcW w:w="4788" w:type="dxa"/>
          </w:tcPr>
          <w:p w14:paraId="780DE4C8" w14:textId="77777777" w:rsidR="000F4D2E" w:rsidRPr="006768E4" w:rsidRDefault="000F4D2E" w:rsidP="00985394">
            <w:pPr>
              <w:spacing w:after="80"/>
              <w:rPr>
                <w:b/>
                <w:sz w:val="24"/>
                <w:szCs w:val="24"/>
              </w:rPr>
            </w:pPr>
            <w:r w:rsidRPr="006768E4">
              <w:rPr>
                <w:b/>
                <w:sz w:val="24"/>
                <w:szCs w:val="24"/>
              </w:rPr>
              <w:t>Address</w:t>
            </w:r>
          </w:p>
          <w:p w14:paraId="480EB914" w14:textId="77777777" w:rsidR="000F4D2E" w:rsidRPr="009C6EED" w:rsidRDefault="000F4D2E" w:rsidP="00985394">
            <w:pPr>
              <w:spacing w:after="80"/>
              <w:rPr>
                <w:b/>
                <w:sz w:val="22"/>
                <w:szCs w:val="22"/>
              </w:rPr>
            </w:pPr>
          </w:p>
        </w:tc>
        <w:tc>
          <w:tcPr>
            <w:tcW w:w="4788" w:type="dxa"/>
          </w:tcPr>
          <w:p w14:paraId="77DF07CF" w14:textId="77777777" w:rsidR="000F4D2E" w:rsidRPr="009C6EED" w:rsidRDefault="000F4D2E">
            <w:pPr>
              <w:spacing w:after="80"/>
              <w:jc w:val="both"/>
              <w:rPr>
                <w:b/>
              </w:rPr>
            </w:pPr>
          </w:p>
          <w:p w14:paraId="423B7E58" w14:textId="77777777" w:rsidR="000F4D2E" w:rsidRPr="009C6EED" w:rsidRDefault="000F4D2E">
            <w:pPr>
              <w:spacing w:after="80"/>
              <w:jc w:val="both"/>
              <w:rPr>
                <w:b/>
              </w:rPr>
            </w:pPr>
          </w:p>
          <w:p w14:paraId="7F6AD067" w14:textId="77777777" w:rsidR="000F4D2E" w:rsidRPr="009C6EED" w:rsidRDefault="000F4D2E">
            <w:pPr>
              <w:spacing w:after="80"/>
              <w:jc w:val="both"/>
              <w:rPr>
                <w:b/>
              </w:rPr>
            </w:pPr>
          </w:p>
        </w:tc>
      </w:tr>
      <w:tr w:rsidR="000F4D2E" w:rsidRPr="009C6EED" w14:paraId="5B57134C" w14:textId="77777777">
        <w:tc>
          <w:tcPr>
            <w:tcW w:w="4788" w:type="dxa"/>
          </w:tcPr>
          <w:p w14:paraId="44C1D8AD" w14:textId="77777777" w:rsidR="000F4D2E" w:rsidRPr="009C6EED" w:rsidRDefault="000F4D2E" w:rsidP="00985394">
            <w:pPr>
              <w:spacing w:after="80"/>
              <w:rPr>
                <w:b/>
                <w:sz w:val="22"/>
                <w:szCs w:val="22"/>
              </w:rPr>
            </w:pPr>
            <w:r w:rsidRPr="006768E4">
              <w:rPr>
                <w:b/>
                <w:sz w:val="24"/>
                <w:szCs w:val="24"/>
              </w:rPr>
              <w:t>Telephone Numbers</w:t>
            </w:r>
          </w:p>
        </w:tc>
        <w:tc>
          <w:tcPr>
            <w:tcW w:w="4788" w:type="dxa"/>
          </w:tcPr>
          <w:p w14:paraId="5BA24401" w14:textId="77777777" w:rsidR="000F4D2E" w:rsidRPr="009C6EED" w:rsidRDefault="000F4D2E">
            <w:pPr>
              <w:spacing w:after="80"/>
              <w:jc w:val="both"/>
              <w:rPr>
                <w:b/>
              </w:rPr>
            </w:pPr>
          </w:p>
          <w:p w14:paraId="7B17CE6D" w14:textId="77777777" w:rsidR="000F4D2E" w:rsidRPr="009C6EED" w:rsidRDefault="000F4D2E">
            <w:pPr>
              <w:spacing w:after="80"/>
              <w:jc w:val="both"/>
              <w:rPr>
                <w:b/>
              </w:rPr>
            </w:pPr>
          </w:p>
        </w:tc>
      </w:tr>
      <w:tr w:rsidR="000F4D2E" w:rsidRPr="009C6EED" w14:paraId="65CB7266" w14:textId="77777777">
        <w:tc>
          <w:tcPr>
            <w:tcW w:w="4788" w:type="dxa"/>
          </w:tcPr>
          <w:p w14:paraId="368C336F" w14:textId="77777777" w:rsidR="000F4D2E" w:rsidRPr="009C6EED" w:rsidRDefault="000F4D2E" w:rsidP="00985394">
            <w:pPr>
              <w:spacing w:after="80"/>
              <w:rPr>
                <w:b/>
                <w:sz w:val="22"/>
                <w:szCs w:val="22"/>
              </w:rPr>
            </w:pPr>
            <w:r w:rsidRPr="006768E4">
              <w:rPr>
                <w:b/>
                <w:sz w:val="24"/>
                <w:szCs w:val="24"/>
              </w:rPr>
              <w:t>Email</w:t>
            </w:r>
          </w:p>
        </w:tc>
        <w:tc>
          <w:tcPr>
            <w:tcW w:w="4788" w:type="dxa"/>
          </w:tcPr>
          <w:p w14:paraId="3B9E0796" w14:textId="77777777" w:rsidR="000F4D2E" w:rsidRPr="009C6EED" w:rsidRDefault="000F4D2E">
            <w:pPr>
              <w:spacing w:after="80"/>
              <w:jc w:val="both"/>
              <w:rPr>
                <w:b/>
              </w:rPr>
            </w:pPr>
          </w:p>
          <w:p w14:paraId="3895CC4D" w14:textId="77777777" w:rsidR="000F4D2E" w:rsidRPr="009C6EED" w:rsidRDefault="000F4D2E">
            <w:pPr>
              <w:spacing w:after="80"/>
              <w:jc w:val="both"/>
              <w:rPr>
                <w:b/>
              </w:rPr>
            </w:pPr>
          </w:p>
        </w:tc>
      </w:tr>
      <w:tr w:rsidR="000F4D2E" w:rsidRPr="009C6EED" w14:paraId="5B6DC075" w14:textId="77777777">
        <w:tc>
          <w:tcPr>
            <w:tcW w:w="4788" w:type="dxa"/>
          </w:tcPr>
          <w:p w14:paraId="48F09762" w14:textId="77777777" w:rsidR="000F4D2E" w:rsidRPr="009C6EED" w:rsidRDefault="000F4D2E" w:rsidP="00985394">
            <w:pPr>
              <w:spacing w:after="80"/>
              <w:rPr>
                <w:b/>
                <w:sz w:val="22"/>
                <w:szCs w:val="22"/>
              </w:rPr>
            </w:pPr>
            <w:r w:rsidRPr="006768E4">
              <w:rPr>
                <w:b/>
                <w:sz w:val="24"/>
                <w:szCs w:val="24"/>
              </w:rPr>
              <w:t>Date</w:t>
            </w:r>
          </w:p>
        </w:tc>
        <w:tc>
          <w:tcPr>
            <w:tcW w:w="4788" w:type="dxa"/>
          </w:tcPr>
          <w:p w14:paraId="50EC6CC2" w14:textId="77777777" w:rsidR="000F4D2E" w:rsidRPr="009C6EED" w:rsidRDefault="000F4D2E">
            <w:pPr>
              <w:spacing w:after="80"/>
              <w:jc w:val="both"/>
              <w:rPr>
                <w:b/>
              </w:rPr>
            </w:pPr>
          </w:p>
          <w:p w14:paraId="1915265F" w14:textId="77777777" w:rsidR="000F4D2E" w:rsidRPr="009C6EED" w:rsidRDefault="000F4D2E">
            <w:pPr>
              <w:spacing w:after="80"/>
              <w:jc w:val="both"/>
              <w:rPr>
                <w:b/>
              </w:rPr>
            </w:pPr>
          </w:p>
        </w:tc>
      </w:tr>
      <w:tr w:rsidR="000F4D2E" w:rsidRPr="009C6EED" w14:paraId="3D38F86D" w14:textId="77777777">
        <w:tc>
          <w:tcPr>
            <w:tcW w:w="4788" w:type="dxa"/>
          </w:tcPr>
          <w:p w14:paraId="1C7D4051" w14:textId="77777777" w:rsidR="000F4D2E" w:rsidRPr="006768E4" w:rsidRDefault="000F4D2E" w:rsidP="00985394">
            <w:pPr>
              <w:spacing w:after="80"/>
              <w:rPr>
                <w:b/>
                <w:sz w:val="24"/>
                <w:szCs w:val="24"/>
              </w:rPr>
            </w:pPr>
            <w:r w:rsidRPr="006768E4">
              <w:rPr>
                <w:b/>
                <w:sz w:val="24"/>
                <w:szCs w:val="24"/>
              </w:rPr>
              <w:t>Amount Requested in Grant Application</w:t>
            </w:r>
          </w:p>
          <w:p w14:paraId="0C1927EA" w14:textId="77777777" w:rsidR="000F4D2E" w:rsidRPr="009C6EED" w:rsidRDefault="000F4D2E" w:rsidP="00985394">
            <w:pPr>
              <w:spacing w:after="80"/>
              <w:rPr>
                <w:b/>
              </w:rPr>
            </w:pPr>
          </w:p>
        </w:tc>
        <w:tc>
          <w:tcPr>
            <w:tcW w:w="4788" w:type="dxa"/>
          </w:tcPr>
          <w:p w14:paraId="3C1CF03C" w14:textId="77777777" w:rsidR="000F4D2E" w:rsidRPr="009C6EED" w:rsidRDefault="000F4D2E">
            <w:pPr>
              <w:spacing w:after="80"/>
              <w:jc w:val="both"/>
              <w:rPr>
                <w:b/>
              </w:rPr>
            </w:pPr>
          </w:p>
        </w:tc>
      </w:tr>
    </w:tbl>
    <w:p w14:paraId="4D9F4424" w14:textId="77777777" w:rsidR="000F4D2E" w:rsidRPr="009C6EED" w:rsidRDefault="000F4D2E" w:rsidP="000F4D2E">
      <w:pPr>
        <w:autoSpaceDE w:val="0"/>
        <w:autoSpaceDN w:val="0"/>
        <w:adjustRightInd w:val="0"/>
        <w:jc w:val="both"/>
        <w:rPr>
          <w:rFonts w:eastAsia="Calibri"/>
          <w:b/>
          <w:bCs/>
        </w:rPr>
      </w:pPr>
    </w:p>
    <w:p w14:paraId="7205EB0C" w14:textId="537948C6" w:rsidR="000F4D2E" w:rsidRPr="009C6EED" w:rsidRDefault="004553E7" w:rsidP="000F4D2E">
      <w:pPr>
        <w:autoSpaceDE w:val="0"/>
        <w:autoSpaceDN w:val="0"/>
        <w:adjustRightInd w:val="0"/>
        <w:jc w:val="both"/>
        <w:rPr>
          <w:rFonts w:eastAsia="Calibri"/>
        </w:rPr>
      </w:pPr>
      <w:r>
        <w:rPr>
          <w:rFonts w:eastAsia="Calibri"/>
          <w:noProof/>
        </w:rPr>
        <mc:AlternateContent>
          <mc:Choice Requires="wps">
            <w:drawing>
              <wp:anchor distT="0" distB="0" distL="114300" distR="114300" simplePos="0" relativeHeight="251658240" behindDoc="1" locked="0" layoutInCell="1" allowOverlap="1" wp14:anchorId="40EC5499" wp14:editId="3D979E79">
                <wp:simplePos x="0" y="0"/>
                <wp:positionH relativeFrom="column">
                  <wp:posOffset>59055</wp:posOffset>
                </wp:positionH>
                <wp:positionV relativeFrom="paragraph">
                  <wp:posOffset>130313</wp:posOffset>
                </wp:positionV>
                <wp:extent cx="2713382" cy="357808"/>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2713382" cy="357808"/>
                        </a:xfrm>
                        <a:prstGeom prst="rect">
                          <a:avLst/>
                        </a:prstGeom>
                        <a:solidFill>
                          <a:schemeClr val="lt1"/>
                        </a:solidFill>
                        <a:ln w="6350">
                          <a:noFill/>
                        </a:ln>
                      </wps:spPr>
                      <wps:txbx>
                        <w:txbxContent>
                          <w:p w14:paraId="63731CDB" w14:textId="0A35BEF8" w:rsidR="004553E7" w:rsidRPr="000C5346" w:rsidRDefault="004553E7">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EC5499" id="_x0000_t202" coordsize="21600,21600" o:spt="202" path="m,l,21600r21600,l21600,xe">
                <v:stroke joinstyle="miter"/>
                <v:path gradientshapeok="t" o:connecttype="rect"/>
              </v:shapetype>
              <v:shape id="Text Box 1" o:spid="_x0000_s1026" type="#_x0000_t202" style="position:absolute;left:0;text-align:left;margin-left:4.65pt;margin-top:10.25pt;width:213.65pt;height:28.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" fillcolor="white [3201]" stroked="f" strokeweight=".5pt">
                <v:textbox>
                  <w:txbxContent>
                    <w:p w14:paraId="63731CDB" w14:textId="0A35BEF8" w:rsidR="004553E7" w:rsidRPr="000C5346" w:rsidRDefault="004553E7">
                      <w:pPr>
                        <w:rPr>
                          <w:sz w:val="24"/>
                          <w:szCs w:val="24"/>
                        </w:rPr>
                      </w:pPr>
                    </w:p>
                  </w:txbxContent>
                </v:textbox>
              </v:shape>
            </w:pict>
          </mc:Fallback>
        </mc:AlternateContent>
      </w:r>
    </w:p>
    <w:p w14:paraId="6817209F" w14:textId="5EBEA97F" w:rsidR="000F4D2E" w:rsidRPr="009C6EED" w:rsidRDefault="000F4D2E" w:rsidP="000F4D2E">
      <w:pPr>
        <w:autoSpaceDE w:val="0"/>
        <w:autoSpaceDN w:val="0"/>
        <w:adjustRightInd w:val="0"/>
        <w:rPr>
          <w:rFonts w:eastAsia="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716"/>
      </w:tblGrid>
      <w:tr w:rsidR="004837B7" w14:paraId="71F2A7A0" w14:textId="77777777" w:rsidTr="003A6F5A">
        <w:tc>
          <w:tcPr>
            <w:tcW w:w="4675" w:type="dxa"/>
          </w:tcPr>
          <w:p w14:paraId="1B976836" w14:textId="12ECDFEF" w:rsidR="004553E7" w:rsidRPr="004553E7" w:rsidRDefault="004553E7" w:rsidP="004553E7">
            <w:pPr>
              <w:autoSpaceDE w:val="0"/>
              <w:autoSpaceDN w:val="0"/>
              <w:adjustRightInd w:val="0"/>
              <w:rPr>
                <w:rFonts w:eastAsia="Calibri"/>
                <w:sz w:val="22"/>
                <w:szCs w:val="22"/>
              </w:rPr>
            </w:pPr>
            <w:r>
              <w:rPr>
                <w:rFonts w:eastAsia="Calibri"/>
              </w:rPr>
              <w:t>___________________________________________</w:t>
            </w:r>
          </w:p>
          <w:p w14:paraId="7E0F7589" w14:textId="401909BD" w:rsidR="004553E7" w:rsidRPr="003A6F5A" w:rsidRDefault="004837B7" w:rsidP="004553E7">
            <w:pPr>
              <w:autoSpaceDE w:val="0"/>
              <w:autoSpaceDN w:val="0"/>
              <w:adjustRightInd w:val="0"/>
              <w:rPr>
                <w:rFonts w:eastAsia="Calibri"/>
                <w:b/>
                <w:bCs/>
                <w:sz w:val="22"/>
                <w:szCs w:val="22"/>
              </w:rPr>
            </w:pPr>
            <w:r w:rsidRPr="006768E4">
              <w:rPr>
                <w:rFonts w:eastAsia="Calibri"/>
                <w:sz w:val="24"/>
                <w:szCs w:val="24"/>
              </w:rPr>
              <w:t>(Type Name)</w:t>
            </w:r>
            <w:r w:rsidR="004553E7">
              <w:rPr>
                <w:rFonts w:eastAsia="Calibri"/>
                <w:sz w:val="22"/>
                <w:szCs w:val="22"/>
              </w:rPr>
              <w:br/>
            </w:r>
            <w:r w:rsidR="004553E7" w:rsidRPr="006768E4">
              <w:rPr>
                <w:rFonts w:eastAsia="Calibri"/>
                <w:b/>
                <w:bCs/>
                <w:sz w:val="24"/>
                <w:szCs w:val="24"/>
              </w:rPr>
              <w:t>Local Area Workforce Development Board Director</w:t>
            </w:r>
          </w:p>
          <w:p w14:paraId="56C5457F" w14:textId="147F98A4" w:rsidR="004837B7" w:rsidRDefault="004837B7" w:rsidP="000F4D2E">
            <w:pPr>
              <w:autoSpaceDE w:val="0"/>
              <w:autoSpaceDN w:val="0"/>
              <w:adjustRightInd w:val="0"/>
              <w:rPr>
                <w:rFonts w:eastAsia="Calibri"/>
              </w:rPr>
            </w:pPr>
          </w:p>
        </w:tc>
        <w:tc>
          <w:tcPr>
            <w:tcW w:w="4675" w:type="dxa"/>
          </w:tcPr>
          <w:p w14:paraId="0813D4E7" w14:textId="0C90B445" w:rsidR="004837B7" w:rsidRPr="003A6F5A" w:rsidRDefault="004837B7" w:rsidP="006768E4">
            <w:pPr>
              <w:autoSpaceDE w:val="0"/>
              <w:autoSpaceDN w:val="0"/>
              <w:adjustRightInd w:val="0"/>
              <w:ind w:right="-210"/>
              <w:rPr>
                <w:rFonts w:eastAsia="Calibri"/>
                <w:b/>
                <w:bCs/>
                <w:sz w:val="22"/>
                <w:szCs w:val="22"/>
              </w:rPr>
            </w:pPr>
            <w:r>
              <w:rPr>
                <w:rFonts w:eastAsia="Calibri"/>
              </w:rPr>
              <w:t>__________________________________________</w:t>
            </w:r>
            <w:r w:rsidR="006768E4">
              <w:rPr>
                <w:rFonts w:eastAsia="Calibri"/>
              </w:rPr>
              <w:t>___</w:t>
            </w:r>
            <w:r>
              <w:rPr>
                <w:rFonts w:eastAsia="Calibri"/>
              </w:rPr>
              <w:br/>
            </w:r>
            <w:r w:rsidRPr="006768E4">
              <w:rPr>
                <w:rFonts w:eastAsia="Calibri"/>
                <w:b/>
                <w:bCs/>
                <w:sz w:val="24"/>
                <w:szCs w:val="24"/>
              </w:rPr>
              <w:t xml:space="preserve">Signature   </w:t>
            </w:r>
            <w:r w:rsidRPr="003A6F5A">
              <w:rPr>
                <w:rFonts w:eastAsia="Calibri"/>
                <w:b/>
                <w:bCs/>
                <w:sz w:val="22"/>
                <w:szCs w:val="22"/>
              </w:rPr>
              <w:t xml:space="preserve">                                                   </w:t>
            </w:r>
            <w:r w:rsidRPr="006768E4">
              <w:rPr>
                <w:rFonts w:eastAsia="Calibri"/>
                <w:b/>
                <w:bCs/>
                <w:sz w:val="24"/>
                <w:szCs w:val="24"/>
              </w:rPr>
              <w:t>Date</w:t>
            </w:r>
          </w:p>
          <w:p w14:paraId="6907F944" w14:textId="7155EA8B" w:rsidR="004837B7" w:rsidRDefault="004837B7" w:rsidP="000F4D2E">
            <w:pPr>
              <w:autoSpaceDE w:val="0"/>
              <w:autoSpaceDN w:val="0"/>
              <w:adjustRightInd w:val="0"/>
              <w:rPr>
                <w:rFonts w:eastAsia="Calibri"/>
              </w:rPr>
            </w:pPr>
          </w:p>
        </w:tc>
      </w:tr>
    </w:tbl>
    <w:p w14:paraId="5A4B57F1" w14:textId="77777777" w:rsidR="000F4D2E" w:rsidRPr="009C6EED" w:rsidRDefault="000F4D2E" w:rsidP="000F4D2E">
      <w:pPr>
        <w:autoSpaceDE w:val="0"/>
        <w:autoSpaceDN w:val="0"/>
        <w:adjustRightInd w:val="0"/>
        <w:rPr>
          <w:rFonts w:eastAsia="Calibri"/>
        </w:rPr>
      </w:pPr>
    </w:p>
    <w:p w14:paraId="17798CC6" w14:textId="77777777" w:rsidR="000F4D2E" w:rsidRPr="009C6EED" w:rsidRDefault="000F4D2E" w:rsidP="000F4D2E">
      <w:pPr>
        <w:autoSpaceDE w:val="0"/>
        <w:autoSpaceDN w:val="0"/>
        <w:adjustRightInd w:val="0"/>
        <w:rPr>
          <w:rFonts w:eastAsia="Calibri"/>
          <w:sz w:val="24"/>
          <w:szCs w:val="24"/>
        </w:rPr>
      </w:pPr>
    </w:p>
    <w:p w14:paraId="2D1A41B3" w14:textId="77777777" w:rsidR="000F4D2E" w:rsidRPr="009C6EED" w:rsidRDefault="000F4D2E" w:rsidP="000F4D2E">
      <w:pPr>
        <w:autoSpaceDE w:val="0"/>
        <w:autoSpaceDN w:val="0"/>
        <w:adjustRightInd w:val="0"/>
        <w:rPr>
          <w:rFonts w:eastAsia="Calibri"/>
          <w:sz w:val="24"/>
          <w:szCs w:val="24"/>
        </w:rPr>
      </w:pPr>
    </w:p>
    <w:p w14:paraId="4A747F80" w14:textId="72C3D3E1" w:rsidR="00F31336" w:rsidRDefault="00F31336"/>
    <w:p w14:paraId="5DA45AAB" w14:textId="05373CBF" w:rsidR="00F63780" w:rsidRPr="00F63780" w:rsidRDefault="00F63780" w:rsidP="00F63780"/>
    <w:p w14:paraId="33223112" w14:textId="41C15688" w:rsidR="00F63780" w:rsidRPr="00F63780" w:rsidRDefault="00F63780" w:rsidP="00F63780"/>
    <w:p w14:paraId="312174D3" w14:textId="6B8B9F30" w:rsidR="00F63780" w:rsidRPr="00F63780" w:rsidRDefault="00F63780" w:rsidP="00F63780"/>
    <w:p w14:paraId="6666DACA" w14:textId="12E45605" w:rsidR="00F63780" w:rsidRPr="00F63780" w:rsidRDefault="00F63780" w:rsidP="00F63780"/>
    <w:p w14:paraId="5CC4C11A" w14:textId="0330E0A2" w:rsidR="00F63780" w:rsidRPr="00F63780" w:rsidRDefault="00F63780" w:rsidP="00F63780"/>
    <w:p w14:paraId="052666B2" w14:textId="2D3E64DA" w:rsidR="00F63780" w:rsidRPr="00F63780" w:rsidRDefault="00F63780" w:rsidP="00F63780"/>
    <w:p w14:paraId="4DAFD3C8" w14:textId="6D5C6D04" w:rsidR="00F63780" w:rsidRPr="00F63780" w:rsidRDefault="00F63780" w:rsidP="00F63780"/>
    <w:p w14:paraId="0DCF3462" w14:textId="611945E0" w:rsidR="00F63780" w:rsidRPr="00F63780" w:rsidRDefault="00F63780" w:rsidP="00F63780"/>
    <w:p w14:paraId="2F294405" w14:textId="5D2336E0" w:rsidR="00F63780" w:rsidRPr="00F63780" w:rsidRDefault="00F63780" w:rsidP="00F63780"/>
    <w:p w14:paraId="73F2B026" w14:textId="77777777" w:rsidR="00F63780" w:rsidRPr="00F63780" w:rsidRDefault="00F63780" w:rsidP="00E80DF8"/>
    <w:sectPr w:rsidR="00F63780" w:rsidRPr="00F63780" w:rsidSect="000418E1">
      <w:footerReference w:type="first" r:id="rId18"/>
      <w:pgSz w:w="12240" w:h="15840" w:code="1"/>
      <w:pgMar w:top="1440" w:right="1440" w:bottom="126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8C95E" w14:textId="77777777" w:rsidR="00477DA2" w:rsidRDefault="00477DA2" w:rsidP="00A924F9">
      <w:r>
        <w:separator/>
      </w:r>
    </w:p>
  </w:endnote>
  <w:endnote w:type="continuationSeparator" w:id="0">
    <w:p w14:paraId="22C9E766" w14:textId="77777777" w:rsidR="00477DA2" w:rsidRDefault="00477DA2" w:rsidP="00A924F9">
      <w:r>
        <w:continuationSeparator/>
      </w:r>
    </w:p>
  </w:endnote>
  <w:endnote w:type="continuationNotice" w:id="1">
    <w:p w14:paraId="59F24275" w14:textId="77777777" w:rsidR="00477DA2" w:rsidRDefault="00477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AFA7" w14:textId="77777777" w:rsidR="006A464E" w:rsidRDefault="006A4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0B6C" w14:textId="5082D2AF" w:rsidR="00B70E2B" w:rsidRDefault="30621045" w:rsidP="000418E1">
    <w:pPr>
      <w:pStyle w:val="Footer"/>
      <w:jc w:val="right"/>
      <w:rPr>
        <w:sz w:val="16"/>
        <w:szCs w:val="16"/>
      </w:rPr>
    </w:pPr>
    <w:r w:rsidRPr="30621045">
      <w:rPr>
        <w:sz w:val="16"/>
        <w:szCs w:val="16"/>
      </w:rPr>
      <w:t>Commission Policy Statement: CPS 05-2021, Change 1</w:t>
    </w:r>
  </w:p>
  <w:p w14:paraId="66062462" w14:textId="389B460E" w:rsidR="00D66BF6" w:rsidRDefault="00D66BF6" w:rsidP="000418E1">
    <w:pPr>
      <w:pStyle w:val="Footer"/>
      <w:jc w:val="right"/>
      <w:rPr>
        <w:sz w:val="16"/>
        <w:szCs w:val="16"/>
      </w:rPr>
    </w:pPr>
    <w:r>
      <w:rPr>
        <w:sz w:val="16"/>
        <w:szCs w:val="16"/>
      </w:rPr>
      <w:t>Attachment 1</w:t>
    </w:r>
  </w:p>
  <w:p w14:paraId="74F74337" w14:textId="59402CC1" w:rsidR="00D66BF6" w:rsidRPr="00D66BF6" w:rsidRDefault="00D66BF6" w:rsidP="000418E1">
    <w:pPr>
      <w:pStyle w:val="Footer"/>
      <w:jc w:val="right"/>
      <w:rPr>
        <w:sz w:val="16"/>
        <w:szCs w:val="16"/>
      </w:rPr>
    </w:pPr>
    <w:r w:rsidRPr="00D66BF6">
      <w:rPr>
        <w:sz w:val="16"/>
        <w:szCs w:val="16"/>
      </w:rPr>
      <w:t xml:space="preserve">Page </w:t>
    </w:r>
    <w:r w:rsidRPr="00D66BF6">
      <w:rPr>
        <w:sz w:val="16"/>
        <w:szCs w:val="16"/>
      </w:rPr>
      <w:fldChar w:fldCharType="begin"/>
    </w:r>
    <w:r w:rsidRPr="00D66BF6">
      <w:rPr>
        <w:sz w:val="16"/>
        <w:szCs w:val="16"/>
      </w:rPr>
      <w:instrText xml:space="preserve"> PAGE  \* Arabic  \* MERGEFORMAT </w:instrText>
    </w:r>
    <w:r w:rsidRPr="00D66BF6">
      <w:rPr>
        <w:sz w:val="16"/>
        <w:szCs w:val="16"/>
      </w:rPr>
      <w:fldChar w:fldCharType="separate"/>
    </w:r>
    <w:r w:rsidRPr="00D66BF6">
      <w:rPr>
        <w:noProof/>
        <w:sz w:val="16"/>
        <w:szCs w:val="16"/>
      </w:rPr>
      <w:t>1</w:t>
    </w:r>
    <w:r w:rsidRPr="00D66BF6">
      <w:rPr>
        <w:sz w:val="16"/>
        <w:szCs w:val="16"/>
      </w:rPr>
      <w:fldChar w:fldCharType="end"/>
    </w:r>
    <w:r w:rsidRPr="00D66BF6">
      <w:rPr>
        <w:sz w:val="16"/>
        <w:szCs w:val="16"/>
      </w:rPr>
      <w:t xml:space="preserve"> of </w:t>
    </w:r>
    <w:r w:rsidRPr="00D66BF6">
      <w:rPr>
        <w:sz w:val="16"/>
        <w:szCs w:val="16"/>
      </w:rPr>
      <w:fldChar w:fldCharType="begin"/>
    </w:r>
    <w:r w:rsidRPr="00D66BF6">
      <w:rPr>
        <w:sz w:val="16"/>
        <w:szCs w:val="16"/>
      </w:rPr>
      <w:instrText xml:space="preserve"> NUMPAGES  \* Arabic  \* MERGEFORMAT </w:instrText>
    </w:r>
    <w:r w:rsidRPr="00D66BF6">
      <w:rPr>
        <w:sz w:val="16"/>
        <w:szCs w:val="16"/>
      </w:rPr>
      <w:fldChar w:fldCharType="separate"/>
    </w:r>
    <w:r w:rsidRPr="00D66BF6">
      <w:rPr>
        <w:noProof/>
        <w:sz w:val="16"/>
        <w:szCs w:val="16"/>
      </w:rPr>
      <w:t>2</w:t>
    </w:r>
    <w:r w:rsidRPr="00D66BF6">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2B9E" w14:textId="43F7E38C" w:rsidR="00D66BF6" w:rsidRDefault="5C746DE3">
    <w:pPr>
      <w:pStyle w:val="Footer"/>
      <w:jc w:val="right"/>
      <w:rPr>
        <w:sz w:val="16"/>
        <w:szCs w:val="16"/>
      </w:rPr>
    </w:pPr>
    <w:r w:rsidRPr="5C746DE3">
      <w:rPr>
        <w:sz w:val="16"/>
        <w:szCs w:val="16"/>
      </w:rPr>
      <w:t>Commission Policy Statement: CPS 05-2021, Change 1</w:t>
    </w:r>
  </w:p>
  <w:p w14:paraId="7467CC56" w14:textId="3279D5F0" w:rsidR="00D66BF6" w:rsidRDefault="00D66BF6" w:rsidP="008D3D45">
    <w:pPr>
      <w:pStyle w:val="Footer"/>
      <w:jc w:val="right"/>
      <w:rPr>
        <w:sz w:val="16"/>
        <w:szCs w:val="16"/>
      </w:rPr>
    </w:pPr>
    <w:r>
      <w:rPr>
        <w:sz w:val="16"/>
        <w:szCs w:val="16"/>
      </w:rPr>
      <w:t>Attachment 1</w:t>
    </w:r>
  </w:p>
  <w:p w14:paraId="36C7EA19" w14:textId="2E6CA004" w:rsidR="00D66BF6" w:rsidRPr="00D66BF6" w:rsidRDefault="00D66BF6" w:rsidP="008D3D45">
    <w:pPr>
      <w:pStyle w:val="Footer"/>
      <w:jc w:val="right"/>
      <w:rPr>
        <w:sz w:val="16"/>
        <w:szCs w:val="16"/>
      </w:rPr>
    </w:pPr>
    <w:r w:rsidRPr="00D66BF6">
      <w:rPr>
        <w:sz w:val="16"/>
        <w:szCs w:val="16"/>
      </w:rPr>
      <w:t xml:space="preserve">Page </w:t>
    </w:r>
    <w:r w:rsidRPr="00D66BF6">
      <w:rPr>
        <w:sz w:val="16"/>
        <w:szCs w:val="16"/>
      </w:rPr>
      <w:fldChar w:fldCharType="begin"/>
    </w:r>
    <w:r w:rsidRPr="00D66BF6">
      <w:rPr>
        <w:sz w:val="16"/>
        <w:szCs w:val="16"/>
      </w:rPr>
      <w:instrText xml:space="preserve"> PAGE  \* Arabic  \* MERGEFORMAT </w:instrText>
    </w:r>
    <w:r w:rsidRPr="00D66BF6">
      <w:rPr>
        <w:sz w:val="16"/>
        <w:szCs w:val="16"/>
      </w:rPr>
      <w:fldChar w:fldCharType="separate"/>
    </w:r>
    <w:r w:rsidRPr="00D66BF6">
      <w:rPr>
        <w:noProof/>
        <w:sz w:val="16"/>
        <w:szCs w:val="16"/>
      </w:rPr>
      <w:t>1</w:t>
    </w:r>
    <w:r w:rsidRPr="00D66BF6">
      <w:rPr>
        <w:sz w:val="16"/>
        <w:szCs w:val="16"/>
      </w:rPr>
      <w:fldChar w:fldCharType="end"/>
    </w:r>
    <w:r w:rsidRPr="00D66BF6">
      <w:rPr>
        <w:sz w:val="16"/>
        <w:szCs w:val="16"/>
      </w:rPr>
      <w:t xml:space="preserve"> of </w:t>
    </w:r>
    <w:r w:rsidRPr="00D66BF6">
      <w:rPr>
        <w:sz w:val="16"/>
        <w:szCs w:val="16"/>
      </w:rPr>
      <w:fldChar w:fldCharType="begin"/>
    </w:r>
    <w:r w:rsidRPr="00D66BF6">
      <w:rPr>
        <w:sz w:val="16"/>
        <w:szCs w:val="16"/>
      </w:rPr>
      <w:instrText xml:space="preserve"> NUMPAGES  \* Arabic  \* MERGEFORMAT </w:instrText>
    </w:r>
    <w:r w:rsidRPr="00D66BF6">
      <w:rPr>
        <w:sz w:val="16"/>
        <w:szCs w:val="16"/>
      </w:rPr>
      <w:fldChar w:fldCharType="separate"/>
    </w:r>
    <w:r w:rsidRPr="00D66BF6">
      <w:rPr>
        <w:noProof/>
        <w:sz w:val="16"/>
        <w:szCs w:val="16"/>
      </w:rPr>
      <w:t>2</w:t>
    </w:r>
    <w:r w:rsidRPr="00D66BF6">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9B4F" w14:textId="17E13EAA" w:rsidR="000C5346" w:rsidRDefault="5C746DE3">
    <w:pPr>
      <w:pStyle w:val="Footer"/>
      <w:jc w:val="right"/>
      <w:rPr>
        <w:sz w:val="16"/>
        <w:szCs w:val="16"/>
      </w:rPr>
    </w:pPr>
    <w:r w:rsidRPr="5C746DE3">
      <w:rPr>
        <w:sz w:val="16"/>
        <w:szCs w:val="16"/>
      </w:rPr>
      <w:t>Commission Policy Statement: CPS 05-2021, Change 1</w:t>
    </w:r>
  </w:p>
  <w:p w14:paraId="29784C8F" w14:textId="36B0A2EB" w:rsidR="00D66BF6" w:rsidRDefault="00D66BF6" w:rsidP="000C5346">
    <w:pPr>
      <w:pStyle w:val="Footer"/>
      <w:jc w:val="right"/>
      <w:rPr>
        <w:sz w:val="16"/>
        <w:szCs w:val="16"/>
      </w:rPr>
    </w:pPr>
    <w:r>
      <w:rPr>
        <w:sz w:val="16"/>
        <w:szCs w:val="16"/>
      </w:rPr>
      <w:t>Attachment 1</w:t>
    </w:r>
  </w:p>
  <w:p w14:paraId="53B38FCA" w14:textId="2AA01A9E" w:rsidR="00D66BF6" w:rsidRPr="00D66BF6" w:rsidRDefault="00D66BF6" w:rsidP="000C5346">
    <w:pPr>
      <w:pStyle w:val="Footer"/>
      <w:jc w:val="right"/>
      <w:rPr>
        <w:sz w:val="16"/>
        <w:szCs w:val="16"/>
      </w:rPr>
    </w:pPr>
    <w:r w:rsidRPr="00D66BF6">
      <w:rPr>
        <w:sz w:val="16"/>
        <w:szCs w:val="16"/>
      </w:rPr>
      <w:t xml:space="preserve">Page </w:t>
    </w:r>
    <w:r w:rsidRPr="00D66BF6">
      <w:rPr>
        <w:sz w:val="16"/>
        <w:szCs w:val="16"/>
      </w:rPr>
      <w:fldChar w:fldCharType="begin"/>
    </w:r>
    <w:r w:rsidRPr="00D66BF6">
      <w:rPr>
        <w:sz w:val="16"/>
        <w:szCs w:val="16"/>
      </w:rPr>
      <w:instrText xml:space="preserve"> PAGE  \* Arabic  \* MERGEFORMAT </w:instrText>
    </w:r>
    <w:r w:rsidRPr="00D66BF6">
      <w:rPr>
        <w:sz w:val="16"/>
        <w:szCs w:val="16"/>
      </w:rPr>
      <w:fldChar w:fldCharType="separate"/>
    </w:r>
    <w:r w:rsidRPr="00D66BF6">
      <w:rPr>
        <w:noProof/>
        <w:sz w:val="16"/>
        <w:szCs w:val="16"/>
      </w:rPr>
      <w:t>1</w:t>
    </w:r>
    <w:r w:rsidRPr="00D66BF6">
      <w:rPr>
        <w:sz w:val="16"/>
        <w:szCs w:val="16"/>
      </w:rPr>
      <w:fldChar w:fldCharType="end"/>
    </w:r>
    <w:r w:rsidRPr="00D66BF6">
      <w:rPr>
        <w:sz w:val="16"/>
        <w:szCs w:val="16"/>
      </w:rPr>
      <w:t xml:space="preserve"> of </w:t>
    </w:r>
    <w:r w:rsidRPr="00D66BF6">
      <w:rPr>
        <w:sz w:val="16"/>
        <w:szCs w:val="16"/>
      </w:rPr>
      <w:fldChar w:fldCharType="begin"/>
    </w:r>
    <w:r w:rsidRPr="00D66BF6">
      <w:rPr>
        <w:sz w:val="16"/>
        <w:szCs w:val="16"/>
      </w:rPr>
      <w:instrText xml:space="preserve"> NUMPAGES  \* Arabic  \* MERGEFORMAT </w:instrText>
    </w:r>
    <w:r w:rsidRPr="00D66BF6">
      <w:rPr>
        <w:sz w:val="16"/>
        <w:szCs w:val="16"/>
      </w:rPr>
      <w:fldChar w:fldCharType="separate"/>
    </w:r>
    <w:r w:rsidRPr="00D66BF6">
      <w:rPr>
        <w:noProof/>
        <w:sz w:val="16"/>
        <w:szCs w:val="16"/>
      </w:rPr>
      <w:t>2</w:t>
    </w:r>
    <w:r w:rsidRPr="00D66BF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86BB6" w14:textId="77777777" w:rsidR="00477DA2" w:rsidRDefault="00477DA2" w:rsidP="00A924F9">
      <w:r>
        <w:separator/>
      </w:r>
    </w:p>
  </w:footnote>
  <w:footnote w:type="continuationSeparator" w:id="0">
    <w:p w14:paraId="775F0DC9" w14:textId="77777777" w:rsidR="00477DA2" w:rsidRDefault="00477DA2" w:rsidP="00A924F9">
      <w:r>
        <w:continuationSeparator/>
      </w:r>
    </w:p>
  </w:footnote>
  <w:footnote w:type="continuationNotice" w:id="1">
    <w:p w14:paraId="762FBB82" w14:textId="77777777" w:rsidR="00477DA2" w:rsidRDefault="00477D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9444" w14:textId="77777777" w:rsidR="006A464E" w:rsidRDefault="006A4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D745" w14:textId="1D01CD15" w:rsidR="006A464E" w:rsidRDefault="006A4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CF72" w14:textId="5E513951" w:rsidR="006A464E" w:rsidRDefault="006A4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5894"/>
    <w:multiLevelType w:val="hybridMultilevel"/>
    <w:tmpl w:val="A6D49C32"/>
    <w:lvl w:ilvl="0" w:tplc="320C5204">
      <w:start w:val="1"/>
      <w:numFmt w:val="bullet"/>
      <w:lvlText w:val=""/>
      <w:lvlJc w:val="left"/>
      <w:pPr>
        <w:ind w:left="720" w:hanging="360"/>
      </w:pPr>
      <w:rPr>
        <w:rFonts w:ascii="Symbol" w:hAnsi="Symbol" w:hint="default"/>
      </w:rPr>
    </w:lvl>
    <w:lvl w:ilvl="1" w:tplc="FCEA2138">
      <w:start w:val="1"/>
      <w:numFmt w:val="bullet"/>
      <w:lvlText w:val="o"/>
      <w:lvlJc w:val="left"/>
      <w:pPr>
        <w:ind w:left="1440" w:hanging="360"/>
      </w:pPr>
      <w:rPr>
        <w:rFonts w:ascii="Courier New" w:hAnsi="Courier New" w:hint="default"/>
      </w:rPr>
    </w:lvl>
    <w:lvl w:ilvl="2" w:tplc="D2B02F00">
      <w:start w:val="1"/>
      <w:numFmt w:val="bullet"/>
      <w:lvlText w:val=""/>
      <w:lvlJc w:val="left"/>
      <w:pPr>
        <w:ind w:left="2160" w:hanging="360"/>
      </w:pPr>
      <w:rPr>
        <w:rFonts w:ascii="Wingdings" w:hAnsi="Wingdings" w:hint="default"/>
      </w:rPr>
    </w:lvl>
    <w:lvl w:ilvl="3" w:tplc="6508519E">
      <w:start w:val="1"/>
      <w:numFmt w:val="bullet"/>
      <w:lvlText w:val=""/>
      <w:lvlJc w:val="left"/>
      <w:pPr>
        <w:ind w:left="2880" w:hanging="360"/>
      </w:pPr>
      <w:rPr>
        <w:rFonts w:ascii="Symbol" w:hAnsi="Symbol" w:hint="default"/>
      </w:rPr>
    </w:lvl>
    <w:lvl w:ilvl="4" w:tplc="71600E96">
      <w:start w:val="1"/>
      <w:numFmt w:val="bullet"/>
      <w:lvlText w:val="o"/>
      <w:lvlJc w:val="left"/>
      <w:pPr>
        <w:ind w:left="3600" w:hanging="360"/>
      </w:pPr>
      <w:rPr>
        <w:rFonts w:ascii="Courier New" w:hAnsi="Courier New" w:hint="default"/>
      </w:rPr>
    </w:lvl>
    <w:lvl w:ilvl="5" w:tplc="EE944DCA">
      <w:start w:val="1"/>
      <w:numFmt w:val="bullet"/>
      <w:lvlText w:val=""/>
      <w:lvlJc w:val="left"/>
      <w:pPr>
        <w:ind w:left="4320" w:hanging="360"/>
      </w:pPr>
      <w:rPr>
        <w:rFonts w:ascii="Wingdings" w:hAnsi="Wingdings" w:hint="default"/>
      </w:rPr>
    </w:lvl>
    <w:lvl w:ilvl="6" w:tplc="902ECE4C">
      <w:start w:val="1"/>
      <w:numFmt w:val="bullet"/>
      <w:lvlText w:val=""/>
      <w:lvlJc w:val="left"/>
      <w:pPr>
        <w:ind w:left="5040" w:hanging="360"/>
      </w:pPr>
      <w:rPr>
        <w:rFonts w:ascii="Symbol" w:hAnsi="Symbol" w:hint="default"/>
      </w:rPr>
    </w:lvl>
    <w:lvl w:ilvl="7" w:tplc="CD6ACF68">
      <w:start w:val="1"/>
      <w:numFmt w:val="bullet"/>
      <w:lvlText w:val="o"/>
      <w:lvlJc w:val="left"/>
      <w:pPr>
        <w:ind w:left="5760" w:hanging="360"/>
      </w:pPr>
      <w:rPr>
        <w:rFonts w:ascii="Courier New" w:hAnsi="Courier New" w:hint="default"/>
      </w:rPr>
    </w:lvl>
    <w:lvl w:ilvl="8" w:tplc="42C4A938">
      <w:start w:val="1"/>
      <w:numFmt w:val="bullet"/>
      <w:lvlText w:val=""/>
      <w:lvlJc w:val="left"/>
      <w:pPr>
        <w:ind w:left="6480" w:hanging="360"/>
      </w:pPr>
      <w:rPr>
        <w:rFonts w:ascii="Wingdings" w:hAnsi="Wingdings" w:hint="default"/>
      </w:rPr>
    </w:lvl>
  </w:abstractNum>
  <w:abstractNum w:abstractNumId="1" w15:restartNumberingAfterBreak="0">
    <w:nsid w:val="04421959"/>
    <w:multiLevelType w:val="hybridMultilevel"/>
    <w:tmpl w:val="447C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6600E"/>
    <w:multiLevelType w:val="multilevel"/>
    <w:tmpl w:val="64FA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14FAE"/>
    <w:multiLevelType w:val="hybridMultilevel"/>
    <w:tmpl w:val="1D7A2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5B5541"/>
    <w:multiLevelType w:val="hybridMultilevel"/>
    <w:tmpl w:val="AAC00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77701363">
    <w:abstractNumId w:val="0"/>
  </w:num>
  <w:num w:numId="2" w16cid:durableId="156116544">
    <w:abstractNumId w:val="2"/>
  </w:num>
  <w:num w:numId="3" w16cid:durableId="1560900615">
    <w:abstractNumId w:val="1"/>
  </w:num>
  <w:num w:numId="4" w16cid:durableId="752629090">
    <w:abstractNumId w:val="4"/>
  </w:num>
  <w:num w:numId="5" w16cid:durableId="1421440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2E"/>
    <w:rsid w:val="00001594"/>
    <w:rsid w:val="00022F70"/>
    <w:rsid w:val="000233C0"/>
    <w:rsid w:val="00023DA5"/>
    <w:rsid w:val="00030A03"/>
    <w:rsid w:val="00032461"/>
    <w:rsid w:val="000418E1"/>
    <w:rsid w:val="00047C32"/>
    <w:rsid w:val="000641CB"/>
    <w:rsid w:val="000738E7"/>
    <w:rsid w:val="00077E76"/>
    <w:rsid w:val="0009745B"/>
    <w:rsid w:val="000B22B3"/>
    <w:rsid w:val="000B2371"/>
    <w:rsid w:val="000C355D"/>
    <w:rsid w:val="000C5346"/>
    <w:rsid w:val="000E1B98"/>
    <w:rsid w:val="000E2C03"/>
    <w:rsid w:val="000F4D2E"/>
    <w:rsid w:val="000F6432"/>
    <w:rsid w:val="00101105"/>
    <w:rsid w:val="00113D51"/>
    <w:rsid w:val="00122649"/>
    <w:rsid w:val="00126714"/>
    <w:rsid w:val="00131D0C"/>
    <w:rsid w:val="00133AE4"/>
    <w:rsid w:val="00135BBE"/>
    <w:rsid w:val="001429B7"/>
    <w:rsid w:val="00144818"/>
    <w:rsid w:val="00150707"/>
    <w:rsid w:val="0015576C"/>
    <w:rsid w:val="00164E83"/>
    <w:rsid w:val="00170F6C"/>
    <w:rsid w:val="00180099"/>
    <w:rsid w:val="00180B9A"/>
    <w:rsid w:val="001827E3"/>
    <w:rsid w:val="0018371E"/>
    <w:rsid w:val="00194179"/>
    <w:rsid w:val="001A0289"/>
    <w:rsid w:val="001A19E0"/>
    <w:rsid w:val="001C08AA"/>
    <w:rsid w:val="001C136F"/>
    <w:rsid w:val="001D6A4F"/>
    <w:rsid w:val="001F204F"/>
    <w:rsid w:val="001F31BF"/>
    <w:rsid w:val="001F4BF6"/>
    <w:rsid w:val="001F4D84"/>
    <w:rsid w:val="002133D5"/>
    <w:rsid w:val="00213C58"/>
    <w:rsid w:val="00222856"/>
    <w:rsid w:val="00226D32"/>
    <w:rsid w:val="002279C0"/>
    <w:rsid w:val="00236968"/>
    <w:rsid w:val="0025184C"/>
    <w:rsid w:val="00253D44"/>
    <w:rsid w:val="00272079"/>
    <w:rsid w:val="00274606"/>
    <w:rsid w:val="00281153"/>
    <w:rsid w:val="00293B8F"/>
    <w:rsid w:val="002B3A31"/>
    <w:rsid w:val="002B76B5"/>
    <w:rsid w:val="002B7BF8"/>
    <w:rsid w:val="002C1F69"/>
    <w:rsid w:val="002C210F"/>
    <w:rsid w:val="002C2FD1"/>
    <w:rsid w:val="002D11F4"/>
    <w:rsid w:val="002E1E4B"/>
    <w:rsid w:val="002E29BD"/>
    <w:rsid w:val="002E3B32"/>
    <w:rsid w:val="002F01DF"/>
    <w:rsid w:val="00305285"/>
    <w:rsid w:val="00316448"/>
    <w:rsid w:val="003273BE"/>
    <w:rsid w:val="00335F71"/>
    <w:rsid w:val="00340E1C"/>
    <w:rsid w:val="00346B10"/>
    <w:rsid w:val="00357FA2"/>
    <w:rsid w:val="00360111"/>
    <w:rsid w:val="00360A29"/>
    <w:rsid w:val="00363065"/>
    <w:rsid w:val="00374293"/>
    <w:rsid w:val="00381847"/>
    <w:rsid w:val="00387AC9"/>
    <w:rsid w:val="00391ADB"/>
    <w:rsid w:val="003A45B8"/>
    <w:rsid w:val="003A4D74"/>
    <w:rsid w:val="003A6F5A"/>
    <w:rsid w:val="003A7399"/>
    <w:rsid w:val="003B1E27"/>
    <w:rsid w:val="003D1BA0"/>
    <w:rsid w:val="003D6E16"/>
    <w:rsid w:val="003D7B1F"/>
    <w:rsid w:val="003E2164"/>
    <w:rsid w:val="003E4A8D"/>
    <w:rsid w:val="003E6CDD"/>
    <w:rsid w:val="003F011A"/>
    <w:rsid w:val="003F23AD"/>
    <w:rsid w:val="0040771C"/>
    <w:rsid w:val="00427E93"/>
    <w:rsid w:val="004321FD"/>
    <w:rsid w:val="0044019D"/>
    <w:rsid w:val="0044463D"/>
    <w:rsid w:val="004520A4"/>
    <w:rsid w:val="00453CD9"/>
    <w:rsid w:val="004553E7"/>
    <w:rsid w:val="00456111"/>
    <w:rsid w:val="00456FC4"/>
    <w:rsid w:val="00477DA2"/>
    <w:rsid w:val="0048072C"/>
    <w:rsid w:val="004837B7"/>
    <w:rsid w:val="00484590"/>
    <w:rsid w:val="004912BE"/>
    <w:rsid w:val="00492B21"/>
    <w:rsid w:val="00497695"/>
    <w:rsid w:val="004A0938"/>
    <w:rsid w:val="004D5586"/>
    <w:rsid w:val="004E3305"/>
    <w:rsid w:val="004F2906"/>
    <w:rsid w:val="005228DF"/>
    <w:rsid w:val="0052666B"/>
    <w:rsid w:val="005311F8"/>
    <w:rsid w:val="00532983"/>
    <w:rsid w:val="00536596"/>
    <w:rsid w:val="00581C08"/>
    <w:rsid w:val="00584B0D"/>
    <w:rsid w:val="0058723D"/>
    <w:rsid w:val="005A78F1"/>
    <w:rsid w:val="005C0300"/>
    <w:rsid w:val="005C1E44"/>
    <w:rsid w:val="005C4F90"/>
    <w:rsid w:val="005D25D6"/>
    <w:rsid w:val="005D41CD"/>
    <w:rsid w:val="005E1AD9"/>
    <w:rsid w:val="005F584C"/>
    <w:rsid w:val="006074B9"/>
    <w:rsid w:val="00625DC1"/>
    <w:rsid w:val="006306ED"/>
    <w:rsid w:val="006403AC"/>
    <w:rsid w:val="00643165"/>
    <w:rsid w:val="00647FE6"/>
    <w:rsid w:val="00650088"/>
    <w:rsid w:val="006579BB"/>
    <w:rsid w:val="006632F8"/>
    <w:rsid w:val="00664586"/>
    <w:rsid w:val="006768E4"/>
    <w:rsid w:val="00676961"/>
    <w:rsid w:val="00693770"/>
    <w:rsid w:val="006A464E"/>
    <w:rsid w:val="006B0FD0"/>
    <w:rsid w:val="006B27DC"/>
    <w:rsid w:val="006B5FA2"/>
    <w:rsid w:val="006C3ADF"/>
    <w:rsid w:val="006D6096"/>
    <w:rsid w:val="006E4714"/>
    <w:rsid w:val="006F1F59"/>
    <w:rsid w:val="006F3B37"/>
    <w:rsid w:val="006F7625"/>
    <w:rsid w:val="00704D35"/>
    <w:rsid w:val="00721D47"/>
    <w:rsid w:val="007252FA"/>
    <w:rsid w:val="00763598"/>
    <w:rsid w:val="0076586E"/>
    <w:rsid w:val="00776054"/>
    <w:rsid w:val="00784C7B"/>
    <w:rsid w:val="00794DC6"/>
    <w:rsid w:val="007A4161"/>
    <w:rsid w:val="007B44DD"/>
    <w:rsid w:val="007D358E"/>
    <w:rsid w:val="007D605B"/>
    <w:rsid w:val="007E0F66"/>
    <w:rsid w:val="007E403E"/>
    <w:rsid w:val="007F3C46"/>
    <w:rsid w:val="00801FE2"/>
    <w:rsid w:val="00807B6E"/>
    <w:rsid w:val="00813976"/>
    <w:rsid w:val="008331B9"/>
    <w:rsid w:val="008347BE"/>
    <w:rsid w:val="0083514C"/>
    <w:rsid w:val="00864357"/>
    <w:rsid w:val="00866B8A"/>
    <w:rsid w:val="00875743"/>
    <w:rsid w:val="008953B4"/>
    <w:rsid w:val="008A13A2"/>
    <w:rsid w:val="008A6C7F"/>
    <w:rsid w:val="008A74B4"/>
    <w:rsid w:val="008B1155"/>
    <w:rsid w:val="008C51AF"/>
    <w:rsid w:val="008C538B"/>
    <w:rsid w:val="008D3D45"/>
    <w:rsid w:val="008E380D"/>
    <w:rsid w:val="008E7DEC"/>
    <w:rsid w:val="00911A56"/>
    <w:rsid w:val="00912E4E"/>
    <w:rsid w:val="009159ED"/>
    <w:rsid w:val="00923D26"/>
    <w:rsid w:val="00930590"/>
    <w:rsid w:val="00947F3D"/>
    <w:rsid w:val="00950B11"/>
    <w:rsid w:val="00952E51"/>
    <w:rsid w:val="00961C75"/>
    <w:rsid w:val="009736CE"/>
    <w:rsid w:val="00975519"/>
    <w:rsid w:val="00975FF6"/>
    <w:rsid w:val="00976017"/>
    <w:rsid w:val="009778B7"/>
    <w:rsid w:val="00985394"/>
    <w:rsid w:val="009915A0"/>
    <w:rsid w:val="009A749B"/>
    <w:rsid w:val="009B1984"/>
    <w:rsid w:val="009C15CB"/>
    <w:rsid w:val="009C226F"/>
    <w:rsid w:val="009C44BD"/>
    <w:rsid w:val="009C5DB6"/>
    <w:rsid w:val="009C680E"/>
    <w:rsid w:val="009D391E"/>
    <w:rsid w:val="009D5294"/>
    <w:rsid w:val="009F1989"/>
    <w:rsid w:val="009F5789"/>
    <w:rsid w:val="00A229D3"/>
    <w:rsid w:val="00A4334C"/>
    <w:rsid w:val="00A5247D"/>
    <w:rsid w:val="00A52BF3"/>
    <w:rsid w:val="00A54EBE"/>
    <w:rsid w:val="00A73994"/>
    <w:rsid w:val="00A924F9"/>
    <w:rsid w:val="00AA0A02"/>
    <w:rsid w:val="00AA0C48"/>
    <w:rsid w:val="00AA1ADA"/>
    <w:rsid w:val="00AA7FCF"/>
    <w:rsid w:val="00AB3ACE"/>
    <w:rsid w:val="00AC4168"/>
    <w:rsid w:val="00AD1C3A"/>
    <w:rsid w:val="00AE4689"/>
    <w:rsid w:val="00AE6CC8"/>
    <w:rsid w:val="00AF7A6A"/>
    <w:rsid w:val="00B14F99"/>
    <w:rsid w:val="00B22BE3"/>
    <w:rsid w:val="00B34A71"/>
    <w:rsid w:val="00B36D6B"/>
    <w:rsid w:val="00B37000"/>
    <w:rsid w:val="00B3720D"/>
    <w:rsid w:val="00B435F2"/>
    <w:rsid w:val="00B50AE9"/>
    <w:rsid w:val="00B54EE3"/>
    <w:rsid w:val="00B65092"/>
    <w:rsid w:val="00B65643"/>
    <w:rsid w:val="00B70E2B"/>
    <w:rsid w:val="00B73F0E"/>
    <w:rsid w:val="00B75319"/>
    <w:rsid w:val="00B95FFC"/>
    <w:rsid w:val="00BA48DD"/>
    <w:rsid w:val="00BB535A"/>
    <w:rsid w:val="00BB5FA2"/>
    <w:rsid w:val="00BC3C79"/>
    <w:rsid w:val="00BD1D14"/>
    <w:rsid w:val="00BE1323"/>
    <w:rsid w:val="00BE7839"/>
    <w:rsid w:val="00BF2387"/>
    <w:rsid w:val="00BF3163"/>
    <w:rsid w:val="00BF3BB5"/>
    <w:rsid w:val="00C15111"/>
    <w:rsid w:val="00C252AF"/>
    <w:rsid w:val="00C265E0"/>
    <w:rsid w:val="00C40E50"/>
    <w:rsid w:val="00C5684A"/>
    <w:rsid w:val="00C71B24"/>
    <w:rsid w:val="00C83382"/>
    <w:rsid w:val="00C96ACD"/>
    <w:rsid w:val="00CA19B7"/>
    <w:rsid w:val="00CB22A9"/>
    <w:rsid w:val="00CC1BAD"/>
    <w:rsid w:val="00CC3DD7"/>
    <w:rsid w:val="00CC5177"/>
    <w:rsid w:val="00CD7F82"/>
    <w:rsid w:val="00CE0EF1"/>
    <w:rsid w:val="00CE5AF3"/>
    <w:rsid w:val="00D00AE0"/>
    <w:rsid w:val="00D02DC9"/>
    <w:rsid w:val="00D2394D"/>
    <w:rsid w:val="00D262FC"/>
    <w:rsid w:val="00D3379C"/>
    <w:rsid w:val="00D35CF7"/>
    <w:rsid w:val="00D373EB"/>
    <w:rsid w:val="00D66BF6"/>
    <w:rsid w:val="00D679BA"/>
    <w:rsid w:val="00D71929"/>
    <w:rsid w:val="00D779ED"/>
    <w:rsid w:val="00D837B7"/>
    <w:rsid w:val="00D8643D"/>
    <w:rsid w:val="00D86677"/>
    <w:rsid w:val="00DC45EE"/>
    <w:rsid w:val="00DC6D71"/>
    <w:rsid w:val="00DD0D5E"/>
    <w:rsid w:val="00DE01FA"/>
    <w:rsid w:val="00DF0B39"/>
    <w:rsid w:val="00DF1390"/>
    <w:rsid w:val="00E027BF"/>
    <w:rsid w:val="00E042F7"/>
    <w:rsid w:val="00E20EDE"/>
    <w:rsid w:val="00E34EAA"/>
    <w:rsid w:val="00E36B26"/>
    <w:rsid w:val="00E40F3F"/>
    <w:rsid w:val="00E446ED"/>
    <w:rsid w:val="00E46D9A"/>
    <w:rsid w:val="00E52DA6"/>
    <w:rsid w:val="00E53CCB"/>
    <w:rsid w:val="00E56990"/>
    <w:rsid w:val="00E57A0C"/>
    <w:rsid w:val="00E62F53"/>
    <w:rsid w:val="00E74549"/>
    <w:rsid w:val="00E75D35"/>
    <w:rsid w:val="00E80DF8"/>
    <w:rsid w:val="00E8669A"/>
    <w:rsid w:val="00E96E6E"/>
    <w:rsid w:val="00EA384F"/>
    <w:rsid w:val="00EA6DD2"/>
    <w:rsid w:val="00ED3A52"/>
    <w:rsid w:val="00ED7D0C"/>
    <w:rsid w:val="00EE7F1E"/>
    <w:rsid w:val="00EF12CB"/>
    <w:rsid w:val="00EF6E8E"/>
    <w:rsid w:val="00F31336"/>
    <w:rsid w:val="00F3550F"/>
    <w:rsid w:val="00F4257F"/>
    <w:rsid w:val="00F53031"/>
    <w:rsid w:val="00F53296"/>
    <w:rsid w:val="00F63780"/>
    <w:rsid w:val="00F75A9A"/>
    <w:rsid w:val="00FA4FD1"/>
    <w:rsid w:val="00FB293D"/>
    <w:rsid w:val="00FB6D9F"/>
    <w:rsid w:val="00FD1632"/>
    <w:rsid w:val="00FD5F09"/>
    <w:rsid w:val="00FE1D81"/>
    <w:rsid w:val="00FF494D"/>
    <w:rsid w:val="00FF5BA8"/>
    <w:rsid w:val="017515DF"/>
    <w:rsid w:val="018FDF79"/>
    <w:rsid w:val="02DAAEC8"/>
    <w:rsid w:val="0309C781"/>
    <w:rsid w:val="036C5449"/>
    <w:rsid w:val="054617F6"/>
    <w:rsid w:val="088B3748"/>
    <w:rsid w:val="0AEF7C31"/>
    <w:rsid w:val="0BE83D25"/>
    <w:rsid w:val="0C97AF3D"/>
    <w:rsid w:val="0EA54117"/>
    <w:rsid w:val="0F533EF0"/>
    <w:rsid w:val="11F50B76"/>
    <w:rsid w:val="1230858E"/>
    <w:rsid w:val="13041256"/>
    <w:rsid w:val="132A718D"/>
    <w:rsid w:val="13386DB6"/>
    <w:rsid w:val="198BDD10"/>
    <w:rsid w:val="1AE7FE5F"/>
    <w:rsid w:val="1B8A2001"/>
    <w:rsid w:val="1BBA65C9"/>
    <w:rsid w:val="1CEC54A2"/>
    <w:rsid w:val="1D1829F6"/>
    <w:rsid w:val="1D37B7BD"/>
    <w:rsid w:val="1F146F35"/>
    <w:rsid w:val="20ECC3D2"/>
    <w:rsid w:val="210242E4"/>
    <w:rsid w:val="228B2790"/>
    <w:rsid w:val="2290CE27"/>
    <w:rsid w:val="24B09F08"/>
    <w:rsid w:val="25982852"/>
    <w:rsid w:val="26C3B7ED"/>
    <w:rsid w:val="26E6AC33"/>
    <w:rsid w:val="27C05CC7"/>
    <w:rsid w:val="2AAFC95C"/>
    <w:rsid w:val="2BB49AB7"/>
    <w:rsid w:val="2C72C375"/>
    <w:rsid w:val="2D9D1501"/>
    <w:rsid w:val="2D9F55D0"/>
    <w:rsid w:val="2DC0BAC6"/>
    <w:rsid w:val="2F2AEE85"/>
    <w:rsid w:val="2FC08CFF"/>
    <w:rsid w:val="30621045"/>
    <w:rsid w:val="30B97ACA"/>
    <w:rsid w:val="31214DC2"/>
    <w:rsid w:val="32B9D0AF"/>
    <w:rsid w:val="3376491F"/>
    <w:rsid w:val="3463BD0A"/>
    <w:rsid w:val="3490728C"/>
    <w:rsid w:val="3593FEE1"/>
    <w:rsid w:val="3925B089"/>
    <w:rsid w:val="3ACCA988"/>
    <w:rsid w:val="3C371C74"/>
    <w:rsid w:val="3DF74CBE"/>
    <w:rsid w:val="3F5D97EB"/>
    <w:rsid w:val="3F6E7FD9"/>
    <w:rsid w:val="40812D42"/>
    <w:rsid w:val="434260C0"/>
    <w:rsid w:val="464B1F4A"/>
    <w:rsid w:val="4794E666"/>
    <w:rsid w:val="4AC2A9F3"/>
    <w:rsid w:val="4E0BEF57"/>
    <w:rsid w:val="4F3F0719"/>
    <w:rsid w:val="525D266A"/>
    <w:rsid w:val="54FD37B4"/>
    <w:rsid w:val="57B5D07B"/>
    <w:rsid w:val="582C3142"/>
    <w:rsid w:val="599A2138"/>
    <w:rsid w:val="5A44C77F"/>
    <w:rsid w:val="5B1CB7F9"/>
    <w:rsid w:val="5BF7BB29"/>
    <w:rsid w:val="5C746DE3"/>
    <w:rsid w:val="5DDDD5B5"/>
    <w:rsid w:val="5E4E5C35"/>
    <w:rsid w:val="5F0DED14"/>
    <w:rsid w:val="629AB0C5"/>
    <w:rsid w:val="6327FAD4"/>
    <w:rsid w:val="6480C2F2"/>
    <w:rsid w:val="64A8FBD3"/>
    <w:rsid w:val="6657FE27"/>
    <w:rsid w:val="685C4EAD"/>
    <w:rsid w:val="685D4B91"/>
    <w:rsid w:val="68B400C0"/>
    <w:rsid w:val="68BFDF95"/>
    <w:rsid w:val="68F20329"/>
    <w:rsid w:val="690EA60A"/>
    <w:rsid w:val="69962122"/>
    <w:rsid w:val="6C1F26A9"/>
    <w:rsid w:val="6C23D3D5"/>
    <w:rsid w:val="6D8B0BC7"/>
    <w:rsid w:val="6D934F55"/>
    <w:rsid w:val="6D95060C"/>
    <w:rsid w:val="6E669552"/>
    <w:rsid w:val="6FF9A891"/>
    <w:rsid w:val="713C74EA"/>
    <w:rsid w:val="71A0B634"/>
    <w:rsid w:val="7298903F"/>
    <w:rsid w:val="736EC208"/>
    <w:rsid w:val="738FAF94"/>
    <w:rsid w:val="73A4D61C"/>
    <w:rsid w:val="753BA06E"/>
    <w:rsid w:val="76756A67"/>
    <w:rsid w:val="79B88BA2"/>
    <w:rsid w:val="7B37812E"/>
    <w:rsid w:val="7D3011AB"/>
    <w:rsid w:val="7E2A0C21"/>
    <w:rsid w:val="7F81C9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EF59E"/>
  <w15:chartTrackingRefBased/>
  <w15:docId w15:val="{A7EA81E4-AAA7-443F-A2D9-857BDD81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D2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0F4D2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4D2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rsid w:val="000F4D2E"/>
    <w:pPr>
      <w:spacing w:before="100" w:beforeAutospacing="1" w:after="100" w:afterAutospacing="1"/>
    </w:pPr>
    <w:rPr>
      <w:sz w:val="24"/>
      <w:szCs w:val="24"/>
    </w:rPr>
  </w:style>
  <w:style w:type="paragraph" w:styleId="Footer">
    <w:name w:val="footer"/>
    <w:basedOn w:val="Normal"/>
    <w:link w:val="FooterChar"/>
    <w:uiPriority w:val="99"/>
    <w:rsid w:val="000F4D2E"/>
    <w:pPr>
      <w:tabs>
        <w:tab w:val="center" w:pos="4320"/>
        <w:tab w:val="right" w:pos="8640"/>
      </w:tabs>
    </w:pPr>
  </w:style>
  <w:style w:type="character" w:customStyle="1" w:styleId="FooterChar">
    <w:name w:val="Footer Char"/>
    <w:basedOn w:val="DefaultParagraphFont"/>
    <w:link w:val="Footer"/>
    <w:uiPriority w:val="99"/>
    <w:rsid w:val="000F4D2E"/>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0F4D2E"/>
    <w:pPr>
      <w:spacing w:after="120"/>
    </w:pPr>
  </w:style>
  <w:style w:type="character" w:customStyle="1" w:styleId="BodyTextChar">
    <w:name w:val="Body Text Char"/>
    <w:basedOn w:val="DefaultParagraphFont"/>
    <w:link w:val="BodyText"/>
    <w:uiPriority w:val="99"/>
    <w:semiHidden/>
    <w:rsid w:val="000F4D2E"/>
    <w:rPr>
      <w:rFonts w:ascii="Times New Roman" w:eastAsia="Times New Roman" w:hAnsi="Times New Roman" w:cs="Times New Roman"/>
      <w:sz w:val="20"/>
      <w:szCs w:val="20"/>
    </w:rPr>
  </w:style>
  <w:style w:type="paragraph" w:styleId="Header">
    <w:name w:val="header"/>
    <w:basedOn w:val="Normal"/>
    <w:link w:val="HeaderChar"/>
    <w:uiPriority w:val="99"/>
    <w:rsid w:val="000F4D2E"/>
    <w:pPr>
      <w:tabs>
        <w:tab w:val="center" w:pos="4320"/>
        <w:tab w:val="right" w:pos="8640"/>
      </w:tabs>
    </w:pPr>
  </w:style>
  <w:style w:type="character" w:customStyle="1" w:styleId="HeaderChar">
    <w:name w:val="Header Char"/>
    <w:basedOn w:val="DefaultParagraphFont"/>
    <w:link w:val="Header"/>
    <w:uiPriority w:val="99"/>
    <w:rsid w:val="000F4D2E"/>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6F7625"/>
    <w:rPr>
      <w:sz w:val="16"/>
      <w:szCs w:val="16"/>
    </w:rPr>
  </w:style>
  <w:style w:type="paragraph" w:styleId="CommentText">
    <w:name w:val="annotation text"/>
    <w:basedOn w:val="Normal"/>
    <w:link w:val="CommentTextChar"/>
    <w:uiPriority w:val="99"/>
    <w:unhideWhenUsed/>
    <w:rsid w:val="006F7625"/>
  </w:style>
  <w:style w:type="character" w:customStyle="1" w:styleId="CommentTextChar">
    <w:name w:val="Comment Text Char"/>
    <w:basedOn w:val="DefaultParagraphFont"/>
    <w:link w:val="CommentText"/>
    <w:uiPriority w:val="99"/>
    <w:rsid w:val="006F76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7625"/>
    <w:rPr>
      <w:b/>
      <w:bCs/>
    </w:rPr>
  </w:style>
  <w:style w:type="character" w:customStyle="1" w:styleId="CommentSubjectChar">
    <w:name w:val="Comment Subject Char"/>
    <w:basedOn w:val="CommentTextChar"/>
    <w:link w:val="CommentSubject"/>
    <w:uiPriority w:val="99"/>
    <w:semiHidden/>
    <w:rsid w:val="006F76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912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2BE"/>
    <w:rPr>
      <w:rFonts w:ascii="Segoe UI" w:eastAsia="Times New Roman" w:hAnsi="Segoe UI" w:cs="Segoe UI"/>
      <w:sz w:val="18"/>
      <w:szCs w:val="18"/>
    </w:rPr>
  </w:style>
  <w:style w:type="character" w:styleId="PlaceholderText">
    <w:name w:val="Placeholder Text"/>
    <w:basedOn w:val="DefaultParagraphFont"/>
    <w:uiPriority w:val="99"/>
    <w:semiHidden/>
    <w:rsid w:val="00985394"/>
    <w:rPr>
      <w:color w:val="808080"/>
    </w:rPr>
  </w:style>
  <w:style w:type="table" w:styleId="TableGrid">
    <w:name w:val="Table Grid"/>
    <w:basedOn w:val="TableNormal"/>
    <w:uiPriority w:val="39"/>
    <w:rsid w:val="0048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1A56"/>
    <w:rPr>
      <w:color w:val="0563C1" w:themeColor="hyperlink"/>
      <w:u w:val="single"/>
    </w:rPr>
  </w:style>
  <w:style w:type="character" w:styleId="UnresolvedMention">
    <w:name w:val="Unresolved Mention"/>
    <w:basedOn w:val="DefaultParagraphFont"/>
    <w:uiPriority w:val="99"/>
    <w:semiHidden/>
    <w:unhideWhenUsed/>
    <w:rsid w:val="00911A56"/>
    <w:rPr>
      <w:color w:val="605E5C"/>
      <w:shd w:val="clear" w:color="auto" w:fill="E1DFDD"/>
    </w:rPr>
  </w:style>
  <w:style w:type="character" w:styleId="FollowedHyperlink">
    <w:name w:val="FollowedHyperlink"/>
    <w:basedOn w:val="DefaultParagraphFont"/>
    <w:uiPriority w:val="99"/>
    <w:semiHidden/>
    <w:unhideWhenUsed/>
    <w:rsid w:val="00911A56"/>
    <w:rPr>
      <w:color w:val="954F72" w:themeColor="followedHyperlink"/>
      <w:u w:val="single"/>
    </w:rPr>
  </w:style>
  <w:style w:type="paragraph" w:styleId="Revision">
    <w:name w:val="Revision"/>
    <w:hidden/>
    <w:uiPriority w:val="99"/>
    <w:semiHidden/>
    <w:rsid w:val="00001594"/>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335F7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Mention">
    <w:name w:val="Mention"/>
    <w:basedOn w:val="DefaultParagraphFont"/>
    <w:uiPriority w:val="99"/>
    <w:unhideWhenUsed/>
    <w:rsid w:val="00784C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8772">
      <w:bodyDiv w:val="1"/>
      <w:marLeft w:val="0"/>
      <w:marRight w:val="0"/>
      <w:marTop w:val="0"/>
      <w:marBottom w:val="0"/>
      <w:divBdr>
        <w:top w:val="none" w:sz="0" w:space="0" w:color="auto"/>
        <w:left w:val="none" w:sz="0" w:space="0" w:color="auto"/>
        <w:bottom w:val="none" w:sz="0" w:space="0" w:color="auto"/>
        <w:right w:val="none" w:sz="0" w:space="0" w:color="auto"/>
      </w:divBdr>
    </w:div>
    <w:div w:id="193843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lee@commerce.nc.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CBCB890E1AD6469E3BEB799A9F6E0A" ma:contentTypeVersion="10" ma:contentTypeDescription="Create a new document." ma:contentTypeScope="" ma:versionID="91fdd1e298ac5fef4f0634aff9345de6">
  <xsd:schema xmlns:xsd="http://www.w3.org/2001/XMLSchema" xmlns:xs="http://www.w3.org/2001/XMLSchema" xmlns:p="http://schemas.microsoft.com/office/2006/metadata/properties" xmlns:ns3="1a9ad177-bfb4-4c9d-9f12-44933091bec5" xmlns:ns4="baa3af29-2110-414e-b897-47836512e4c5" targetNamespace="http://schemas.microsoft.com/office/2006/metadata/properties" ma:root="true" ma:fieldsID="6dbf50175153f0c650e801d651ad3ccb" ns3:_="" ns4:_="">
    <xsd:import namespace="1a9ad177-bfb4-4c9d-9f12-44933091bec5"/>
    <xsd:import namespace="baa3af29-2110-414e-b897-47836512e4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ad177-bfb4-4c9d-9f12-44933091b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3af29-2110-414e-b897-47836512e4c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57F8A-D9A9-4236-8683-3F5F9A3FC7C8}">
  <ds:schemaRefs>
    <ds:schemaRef ds:uri="http://schemas.openxmlformats.org/officeDocument/2006/bibliography"/>
  </ds:schemaRefs>
</ds:datastoreItem>
</file>

<file path=customXml/itemProps2.xml><?xml version="1.0" encoding="utf-8"?>
<ds:datastoreItem xmlns:ds="http://schemas.openxmlformats.org/officeDocument/2006/customXml" ds:itemID="{64CD38AC-482C-43CB-B5D4-95375F0E37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817A48-AB4B-430D-8302-2916581B8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ad177-bfb4-4c9d-9f12-44933091bec5"/>
    <ds:schemaRef ds:uri="baa3af29-2110-414e-b897-47836512e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0EA81-480B-4F74-9A83-0A565CC08D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mckenzie</dc:creator>
  <cp:keywords/>
  <dc:description/>
  <cp:lastModifiedBy>Cassar, Salvatore</cp:lastModifiedBy>
  <cp:revision>24</cp:revision>
  <dcterms:created xsi:type="dcterms:W3CDTF">2025-10-06T18:45:00Z</dcterms:created>
  <dcterms:modified xsi:type="dcterms:W3CDTF">2025-11-20T20:37:00Z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0x0101003DCBCB890E1AD6469E3BEB799A9F6E0A</vt:lpwstr>
  </property>
</Properties>
</file>