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60" w:tblpY="646"/>
        <w:tblW w:w="1071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23"/>
        <w:gridCol w:w="6987"/>
      </w:tblGrid>
      <w:tr w:rsidR="00A2364A" w:rsidRPr="001F3B73" w14:paraId="367A6635" w14:textId="77777777" w:rsidTr="00657585">
        <w:trPr>
          <w:trHeight w:val="517"/>
        </w:trPr>
        <w:tc>
          <w:tcPr>
            <w:tcW w:w="3723" w:type="dxa"/>
            <w:vMerge w:val="restart"/>
            <w:vAlign w:val="center"/>
          </w:tcPr>
          <w:p w14:paraId="3481A517" w14:textId="77777777" w:rsidR="00A2364A" w:rsidRPr="001F3B73" w:rsidRDefault="00A2364A" w:rsidP="006575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3B7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A850F56" wp14:editId="0DAA3F25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399032" cy="13717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32" cy="1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A72118" w14:textId="77777777" w:rsidR="00A2364A" w:rsidRPr="001F3B73" w:rsidRDefault="00A2364A" w:rsidP="00657585">
            <w:pPr>
              <w:spacing w:before="16" w:after="0" w:line="200" w:lineRule="exact"/>
              <w:ind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  <w:vAlign w:val="center"/>
          </w:tcPr>
          <w:p w14:paraId="62AD8955" w14:textId="77777777" w:rsidR="00A2364A" w:rsidRPr="001F3B73" w:rsidRDefault="00A2364A" w:rsidP="0065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NCWorks Commission</w:t>
            </w:r>
          </w:p>
        </w:tc>
      </w:tr>
      <w:tr w:rsidR="00A2364A" w:rsidRPr="001F3B73" w14:paraId="049CA296" w14:textId="77777777" w:rsidTr="00657585">
        <w:trPr>
          <w:trHeight w:val="427"/>
        </w:trPr>
        <w:tc>
          <w:tcPr>
            <w:tcW w:w="3723" w:type="dxa"/>
            <w:vMerge/>
          </w:tcPr>
          <w:p w14:paraId="10AFE16A" w14:textId="77777777" w:rsidR="00A2364A" w:rsidRPr="001F3B73" w:rsidRDefault="00A2364A" w:rsidP="0065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</w:tcPr>
          <w:p w14:paraId="46675109" w14:textId="622E930B" w:rsidR="00A2364A" w:rsidRPr="001F3B73" w:rsidRDefault="00A2364A" w:rsidP="0065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49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NCWorks Commission Policy Statement Number</w:t>
            </w:r>
            <w:r w:rsidRPr="005A17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  <w:r w:rsidR="00871CE9" w:rsidRPr="005A17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="003A01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CPS </w:t>
            </w:r>
            <w:r w:rsidR="00C7753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02</w:t>
            </w:r>
            <w:r w:rsidR="003A01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-2025</w:t>
            </w:r>
          </w:p>
        </w:tc>
      </w:tr>
      <w:tr w:rsidR="00A2364A" w:rsidRPr="001F3B73" w14:paraId="7E3C92D6" w14:textId="77777777" w:rsidTr="00657585">
        <w:trPr>
          <w:trHeight w:val="427"/>
        </w:trPr>
        <w:tc>
          <w:tcPr>
            <w:tcW w:w="3723" w:type="dxa"/>
            <w:vMerge/>
          </w:tcPr>
          <w:p w14:paraId="0815FF94" w14:textId="77777777" w:rsidR="00A2364A" w:rsidRPr="001F3B73" w:rsidRDefault="00A2364A" w:rsidP="0065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  <w:vAlign w:val="center"/>
          </w:tcPr>
          <w:p w14:paraId="4EFA9540" w14:textId="1A01FDB1" w:rsidR="00A2364A" w:rsidRPr="001F3B73" w:rsidRDefault="00A2364A" w:rsidP="00657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B7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1F3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F3B7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1F3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  <w:r w:rsidRPr="001F3B7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871C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</w:t>
            </w:r>
            <w:r w:rsidR="008E331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May</w:t>
            </w:r>
            <w:r w:rsidR="00871CE9" w:rsidRPr="005A173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1C286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14</w:t>
            </w:r>
            <w:r w:rsidR="00871CE9" w:rsidRPr="005A173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 2025</w:t>
            </w:r>
          </w:p>
        </w:tc>
      </w:tr>
      <w:tr w:rsidR="00A2364A" w:rsidRPr="001F3B73" w14:paraId="3D6E3027" w14:textId="77777777" w:rsidTr="00657585">
        <w:trPr>
          <w:trHeight w:val="427"/>
        </w:trPr>
        <w:tc>
          <w:tcPr>
            <w:tcW w:w="3723" w:type="dxa"/>
            <w:vMerge/>
          </w:tcPr>
          <w:p w14:paraId="74DA0CBB" w14:textId="77777777" w:rsidR="00A2364A" w:rsidRPr="001F3B73" w:rsidRDefault="00A2364A" w:rsidP="0065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  <w:vAlign w:val="center"/>
          </w:tcPr>
          <w:p w14:paraId="6C275ED6" w14:textId="5C0444C1" w:rsidR="00A2364A" w:rsidRPr="00C11A21" w:rsidRDefault="00A2364A" w:rsidP="001C2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 w:rsidR="0087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A0169" w:rsidRPr="003A0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Management Policy for Workforce Innovation and Opportunity Act Title I</w:t>
            </w:r>
          </w:p>
        </w:tc>
      </w:tr>
      <w:tr w:rsidR="00A2364A" w:rsidRPr="001F3B73" w14:paraId="1AA296EF" w14:textId="77777777" w:rsidTr="00657585">
        <w:trPr>
          <w:trHeight w:hRule="exact" w:val="1506"/>
        </w:trPr>
        <w:tc>
          <w:tcPr>
            <w:tcW w:w="3723" w:type="dxa"/>
            <w:vMerge/>
          </w:tcPr>
          <w:p w14:paraId="473A1E1C" w14:textId="77777777" w:rsidR="00A2364A" w:rsidRPr="001F3B73" w:rsidRDefault="00A2364A" w:rsidP="0065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</w:tcPr>
          <w:p w14:paraId="1BA1FF20" w14:textId="77777777" w:rsidR="00A2364A" w:rsidRPr="001F3B73" w:rsidRDefault="00A2364A" w:rsidP="00657585">
            <w:pPr>
              <w:tabs>
                <w:tab w:val="left" w:pos="4307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B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From</w:t>
            </w:r>
            <w:r w:rsidRPr="001F3B73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30C53822" w14:textId="77777777" w:rsidR="00A2364A" w:rsidRPr="001F3B73" w:rsidRDefault="00A2364A" w:rsidP="00657585">
            <w:pPr>
              <w:tabs>
                <w:tab w:val="left" w:pos="4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453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0"/>
            </w:tblGrid>
            <w:tr w:rsidR="00A2364A" w:rsidRPr="001F3B73" w14:paraId="430D2125" w14:textId="77777777" w:rsidTr="002D5B9F">
              <w:trPr>
                <w:trHeight w:val="213"/>
                <w:jc w:val="center"/>
              </w:trPr>
              <w:tc>
                <w:tcPr>
                  <w:tcW w:w="4530" w:type="dxa"/>
                </w:tcPr>
                <w:p w14:paraId="19072B19" w14:textId="77777777" w:rsidR="00A2364A" w:rsidRPr="001F3B73" w:rsidRDefault="00A2364A" w:rsidP="008428E8">
                  <w:pPr>
                    <w:framePr w:hSpace="180" w:wrap="around" w:vAnchor="page" w:hAnchor="margin" w:x="-660" w:y="646"/>
                    <w:tabs>
                      <w:tab w:val="left" w:pos="4307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A2364A" w:rsidRPr="001F3B73" w14:paraId="36047592" w14:textId="77777777" w:rsidTr="002D5B9F">
              <w:trPr>
                <w:trHeight w:val="442"/>
                <w:jc w:val="center"/>
              </w:trPr>
              <w:tc>
                <w:tcPr>
                  <w:tcW w:w="4530" w:type="dxa"/>
                </w:tcPr>
                <w:p w14:paraId="69BD51B8" w14:textId="77777777" w:rsidR="00A2364A" w:rsidRPr="008112E7" w:rsidRDefault="00A2364A" w:rsidP="008428E8">
                  <w:pPr>
                    <w:framePr w:hSpace="180" w:wrap="around" w:vAnchor="page" w:hAnchor="margin" w:x="-660" w:y="64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112E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Tom B. Rabon, Jr.</w:t>
                  </w:r>
                </w:p>
                <w:p w14:paraId="1EF4F269" w14:textId="77777777" w:rsidR="00A2364A" w:rsidRPr="001F3B73" w:rsidRDefault="00A2364A" w:rsidP="008428E8">
                  <w:pPr>
                    <w:framePr w:hSpace="180" w:wrap="around" w:vAnchor="page" w:hAnchor="margin" w:x="-660" w:y="646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112E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Chair, NCWorks Commission</w:t>
                  </w:r>
                </w:p>
              </w:tc>
            </w:tr>
          </w:tbl>
          <w:p w14:paraId="641F2A31" w14:textId="77777777" w:rsidR="00A2364A" w:rsidRPr="001F3B73" w:rsidRDefault="00A2364A" w:rsidP="00657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1F6753" w14:textId="77777777" w:rsidR="00B80DAD" w:rsidRDefault="00B80DAD" w:rsidP="008B2549">
      <w:pPr>
        <w:spacing w:after="0"/>
        <w:ind w:left="-187"/>
      </w:pPr>
    </w:p>
    <w:p w14:paraId="248D9969" w14:textId="77777777" w:rsidR="001D26F6" w:rsidRPr="00B80DAD" w:rsidRDefault="001D26F6" w:rsidP="008B2549">
      <w:pPr>
        <w:spacing w:after="0"/>
        <w:ind w:left="-187"/>
      </w:pPr>
    </w:p>
    <w:tbl>
      <w:tblPr>
        <w:tblStyle w:val="TableGrid"/>
        <w:tblpPr w:leftFromText="187" w:rightFromText="187" w:vertAnchor="text" w:horzAnchor="margin" w:tblpX="-636" w:tblpY="1"/>
        <w:tblOverlap w:val="never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0"/>
        <w:gridCol w:w="8220"/>
      </w:tblGrid>
      <w:tr w:rsidR="00221323" w:rsidRPr="001F3B73" w14:paraId="698FB2C2" w14:textId="77777777" w:rsidTr="4F66A073">
        <w:trPr>
          <w:trHeight w:val="296"/>
        </w:trPr>
        <w:tc>
          <w:tcPr>
            <w:tcW w:w="2490" w:type="dxa"/>
          </w:tcPr>
          <w:p w14:paraId="53290A86" w14:textId="3C7397BE" w:rsidR="005822F1" w:rsidRPr="001F3B73" w:rsidRDefault="00221323" w:rsidP="00657585">
            <w:pPr>
              <w:pStyle w:val="BodyTextIndent"/>
              <w:tabs>
                <w:tab w:val="left" w:pos="-205"/>
                <w:tab w:val="left" w:pos="-118"/>
              </w:tabs>
              <w:ind w:left="-205" w:firstLine="205"/>
              <w:jc w:val="both"/>
              <w:rPr>
                <w:b/>
                <w:bCs/>
                <w:spacing w:val="-3"/>
              </w:rPr>
            </w:pPr>
            <w:r w:rsidRPr="001F3B73">
              <w:rPr>
                <w:b/>
                <w:bCs/>
                <w:spacing w:val="-3"/>
              </w:rPr>
              <w:t>Purpose:</w:t>
            </w:r>
          </w:p>
        </w:tc>
        <w:tc>
          <w:tcPr>
            <w:tcW w:w="8220" w:type="dxa"/>
          </w:tcPr>
          <w:sdt>
            <w:sdtPr>
              <w:rPr>
                <w:rStyle w:val="OGTemplateFont"/>
              </w:rPr>
              <w:id w:val="-258595531"/>
              <w:lock w:val="sdtLocked"/>
              <w:placeholder>
                <w:docPart w:val="DefaultPlaceholder_-1854013440"/>
              </w:placeholder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color w:val="221F1F"/>
                <w:sz w:val="22"/>
              </w:rPr>
            </w:sdtEndPr>
            <w:sdtContent>
              <w:p w14:paraId="23C16F57" w14:textId="2593BC9F" w:rsidR="00856F5D" w:rsidRDefault="00871CE9" w:rsidP="00657585">
                <w:pPr>
                  <w:jc w:val="both"/>
                  <w:rPr>
                    <w:rStyle w:val="OGTemplateFont"/>
                  </w:rPr>
                </w:pPr>
                <w:r>
                  <w:rPr>
                    <w:rStyle w:val="OGTemplateFont"/>
                  </w:rPr>
                  <w:t xml:space="preserve">To transmit the current Division of Workforce Solutions (DWS) Financial Management Policy to reflect Workforce Innovation and Opportunity Act (WIOA) and Federal Office of Management and Budget (OMB) Uniform Guidance. </w:t>
                </w:r>
              </w:p>
              <w:p w14:paraId="40EACF5C" w14:textId="77777777" w:rsidR="00CE3113" w:rsidRDefault="00000000" w:rsidP="00657585">
                <w:pPr>
                  <w:jc w:val="both"/>
                  <w:rPr>
                    <w:rFonts w:eastAsia="Times New Roman" w:cs="Times New Roman"/>
                    <w:color w:val="221F1F"/>
                  </w:rPr>
                </w:pPr>
              </w:p>
              <w:bookmarkStart w:id="0" w:name="_Hlk193957508" w:displacedByCustomXml="next"/>
            </w:sdtContent>
          </w:sdt>
          <w:bookmarkEnd w:id="0" w:displacedByCustomXml="prev"/>
          <w:p w14:paraId="6885A173" w14:textId="1AABFD54" w:rsidR="00C5791C" w:rsidRPr="00CE3113" w:rsidRDefault="00CE3113" w:rsidP="00657585">
            <w:pPr>
              <w:jc w:val="both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Style w:val="OGTemplateFont"/>
              </w:rPr>
              <w:t>This Commission Policy Statement rescinds Policy Statement 20-2017, Change 1</w:t>
            </w:r>
            <w:r w:rsidRPr="001C286F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and the procedures herein supersede all previous policies, procedures, and guidelines regarding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the Financial Management Policy for WIOA Title I</w:t>
            </w:r>
            <w:r w:rsidRPr="001C286F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</w:p>
        </w:tc>
      </w:tr>
      <w:tr w:rsidR="00221323" w:rsidRPr="008B2549" w14:paraId="20D17D11" w14:textId="77777777" w:rsidTr="4F66A073">
        <w:trPr>
          <w:trHeight w:val="318"/>
        </w:trPr>
        <w:tc>
          <w:tcPr>
            <w:tcW w:w="2490" w:type="dxa"/>
          </w:tcPr>
          <w:p w14:paraId="7CAEC405" w14:textId="119E1E93" w:rsidR="005822F1" w:rsidRPr="001E44DB" w:rsidRDefault="00221323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1E44DB">
              <w:rPr>
                <w:b/>
                <w:bCs/>
                <w:spacing w:val="-3"/>
              </w:rPr>
              <w:t>Background:</w:t>
            </w:r>
          </w:p>
        </w:tc>
        <w:tc>
          <w:tcPr>
            <w:tcW w:w="8220" w:type="dxa"/>
          </w:tcPr>
          <w:p w14:paraId="57A2EFAC" w14:textId="02CF8405" w:rsidR="00703774" w:rsidRPr="008B2549" w:rsidRDefault="00DF1706" w:rsidP="00657585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All recipients of federal funding under the WIOA must comply with the financial management</w:t>
            </w:r>
            <w:r w:rsidR="001B79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requirements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as provided by the U.S. Department of Labor (DOL) and the Division of Workforce Solutions (DWS). </w:t>
            </w:r>
          </w:p>
        </w:tc>
      </w:tr>
      <w:tr w:rsidR="00925CD6" w:rsidRPr="001F3B73" w14:paraId="03A865BB" w14:textId="77777777" w:rsidTr="4F66A073">
        <w:trPr>
          <w:trHeight w:val="318"/>
        </w:trPr>
        <w:tc>
          <w:tcPr>
            <w:tcW w:w="2490" w:type="dxa"/>
          </w:tcPr>
          <w:p w14:paraId="5ED92644" w14:textId="3DA8D14E" w:rsidR="00925CD6" w:rsidRPr="001F3B73" w:rsidRDefault="00925CD6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 xml:space="preserve">Action: </w:t>
            </w:r>
          </w:p>
        </w:tc>
        <w:sdt>
          <w:sdtPr>
            <w:rPr>
              <w:rStyle w:val="OGTemplateFont"/>
            </w:rPr>
            <w:id w:val="-269391117"/>
            <w:lock w:val="sdtLocked"/>
            <w:placeholder>
              <w:docPart w:val="DefaultPlaceholder_-1854013440"/>
            </w:placeholder>
          </w:sdtPr>
          <w:sdtEndPr>
            <w:rPr>
              <w:rStyle w:val="DefaultParagraphFont"/>
              <w:rFonts w:asciiTheme="minorHAnsi" w:eastAsia="Times New Roman" w:hAnsiTheme="minorHAnsi" w:cs="Times New Roman"/>
              <w:spacing w:val="1"/>
              <w:sz w:val="22"/>
            </w:rPr>
          </w:sdtEndPr>
          <w:sdtContent>
            <w:tc>
              <w:tcPr>
                <w:tcW w:w="8220" w:type="dxa"/>
              </w:tcPr>
              <w:p w14:paraId="4B9DE6B4" w14:textId="7460E160" w:rsidR="00925CD6" w:rsidRPr="00D20739" w:rsidRDefault="006D5093" w:rsidP="00871CE9">
                <w:pPr>
                  <w:jc w:val="both"/>
                  <w:rPr>
                    <w:rFonts w:cs="Times New Roman"/>
                    <w:szCs w:val="24"/>
                  </w:rPr>
                </w:pPr>
                <w:r>
                  <w:rPr>
                    <w:rStyle w:val="OGTemplateFont"/>
                  </w:rPr>
                  <w:t xml:space="preserve">Local </w:t>
                </w:r>
                <w:r w:rsidR="003A0169">
                  <w:rPr>
                    <w:rStyle w:val="OGTemplateFont"/>
                  </w:rPr>
                  <w:t xml:space="preserve">Area </w:t>
                </w:r>
                <w:r>
                  <w:rPr>
                    <w:rStyle w:val="OGTemplateFont"/>
                  </w:rPr>
                  <w:t xml:space="preserve">Workforce Development </w:t>
                </w:r>
                <w:r w:rsidR="003A0169">
                  <w:rPr>
                    <w:rStyle w:val="OGTemplateFont"/>
                  </w:rPr>
                  <w:t>Boards (WDBs)</w:t>
                </w:r>
                <w:r>
                  <w:rPr>
                    <w:rStyle w:val="OGTemplateFont"/>
                  </w:rPr>
                  <w:t xml:space="preserve"> and </w:t>
                </w:r>
                <w:r w:rsidR="003A0169">
                  <w:rPr>
                    <w:rStyle w:val="OGTemplateFont"/>
                  </w:rPr>
                  <w:t>subrecipients</w:t>
                </w:r>
                <w:r>
                  <w:rPr>
                    <w:rStyle w:val="OGTemplateFont"/>
                  </w:rPr>
                  <w:t xml:space="preserve"> are required to adhere to the following financial procedures for the administration of the WIOA Title I</w:t>
                </w:r>
                <w:r w:rsidR="003A0169">
                  <w:rPr>
                    <w:rStyle w:val="OGTemplateFont"/>
                  </w:rPr>
                  <w:t xml:space="preserve"> funds</w:t>
                </w:r>
                <w:r>
                  <w:rPr>
                    <w:rStyle w:val="OGTemplateFont"/>
                  </w:rPr>
                  <w:t xml:space="preserve">. </w:t>
                </w:r>
              </w:p>
            </w:tc>
          </w:sdtContent>
        </w:sdt>
      </w:tr>
      <w:tr w:rsidR="00221323" w:rsidRPr="001F3B73" w14:paraId="4F1A0557" w14:textId="77777777" w:rsidTr="4F66A073">
        <w:trPr>
          <w:trHeight w:val="296"/>
        </w:trPr>
        <w:tc>
          <w:tcPr>
            <w:tcW w:w="2490" w:type="dxa"/>
          </w:tcPr>
          <w:p w14:paraId="1CA34F6F" w14:textId="33A38408" w:rsidR="005822F1" w:rsidRPr="001F3B73" w:rsidRDefault="00221323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1F3B73">
              <w:rPr>
                <w:b/>
                <w:bCs/>
                <w:spacing w:val="-3"/>
              </w:rPr>
              <w:t>Effective Date:</w:t>
            </w:r>
          </w:p>
        </w:tc>
        <w:sdt>
          <w:sdtPr>
            <w:rPr>
              <w:rStyle w:val="OGTemplateFont"/>
            </w:rPr>
            <w:id w:val="13508648"/>
            <w:lock w:val="sdtLocked"/>
            <w:placeholder>
              <w:docPart w:val="DefaultPlaceholder_-1854013440"/>
            </w:placeholder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8220" w:type="dxa"/>
              </w:tcPr>
              <w:p w14:paraId="402B1038" w14:textId="744E8FCB" w:rsidR="00221323" w:rsidRPr="001F3B73" w:rsidRDefault="006D5093" w:rsidP="006D5093">
                <w:pPr>
                  <w:jc w:val="both"/>
                </w:pPr>
                <w:r>
                  <w:rPr>
                    <w:rStyle w:val="OGTemplateFont"/>
                  </w:rPr>
                  <w:t>Immediately</w:t>
                </w:r>
              </w:p>
            </w:tc>
          </w:sdtContent>
        </w:sdt>
      </w:tr>
      <w:tr w:rsidR="00221323" w:rsidRPr="001F3B73" w14:paraId="678B8686" w14:textId="77777777" w:rsidTr="4F66A073">
        <w:trPr>
          <w:trHeight w:val="296"/>
        </w:trPr>
        <w:tc>
          <w:tcPr>
            <w:tcW w:w="2490" w:type="dxa"/>
          </w:tcPr>
          <w:p w14:paraId="595E93AD" w14:textId="230CF8E1" w:rsidR="005822F1" w:rsidRPr="001F3B73" w:rsidRDefault="00221323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1F3B73">
              <w:rPr>
                <w:b/>
                <w:bCs/>
                <w:spacing w:val="-3"/>
              </w:rPr>
              <w:t>Expiration:</w:t>
            </w:r>
          </w:p>
        </w:tc>
        <w:sdt>
          <w:sdtPr>
            <w:rPr>
              <w:rStyle w:val="OGTemplateFont"/>
            </w:rPr>
            <w:id w:val="1326865844"/>
            <w:lock w:val="sdtLocked"/>
            <w:placeholder>
              <w:docPart w:val="DefaultPlaceholder_-1854013440"/>
            </w:placeholder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8220" w:type="dxa"/>
              </w:tcPr>
              <w:p w14:paraId="1C544298" w14:textId="4A519FCC" w:rsidR="00221323" w:rsidRPr="001F3B73" w:rsidRDefault="006D5093" w:rsidP="006D5093">
                <w:pPr>
                  <w:jc w:val="both"/>
                </w:pPr>
                <w:r>
                  <w:rPr>
                    <w:rStyle w:val="OGTemplateFont"/>
                  </w:rPr>
                  <w:t>Indefinite</w:t>
                </w:r>
              </w:p>
            </w:tc>
          </w:sdtContent>
        </w:sdt>
      </w:tr>
      <w:tr w:rsidR="00221323" w:rsidRPr="001F3B73" w14:paraId="0DED4BB7" w14:textId="77777777" w:rsidTr="4F66A073">
        <w:trPr>
          <w:trHeight w:val="318"/>
        </w:trPr>
        <w:tc>
          <w:tcPr>
            <w:tcW w:w="2490" w:type="dxa"/>
          </w:tcPr>
          <w:p w14:paraId="27BF089C" w14:textId="2BD28FA8" w:rsidR="005822F1" w:rsidRPr="001F3B73" w:rsidRDefault="00221323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1F3B73">
              <w:rPr>
                <w:b/>
                <w:bCs/>
                <w:spacing w:val="-3"/>
              </w:rPr>
              <w:t>Contact:</w:t>
            </w:r>
          </w:p>
        </w:tc>
        <w:tc>
          <w:tcPr>
            <w:tcW w:w="8220" w:type="dxa"/>
          </w:tcPr>
          <w:p w14:paraId="66BA2368" w14:textId="2D0968D9" w:rsidR="004C4AB1" w:rsidRPr="001F3B73" w:rsidRDefault="00925CD6" w:rsidP="006D5093">
            <w:pPr>
              <w:pStyle w:val="BodyTextIndent"/>
              <w:ind w:left="0" w:firstLine="0"/>
              <w:jc w:val="both"/>
            </w:pPr>
            <w:r>
              <w:t xml:space="preserve">DWS </w:t>
            </w:r>
            <w:r w:rsidR="006D5093">
              <w:t>Finance Director</w:t>
            </w:r>
          </w:p>
        </w:tc>
      </w:tr>
      <w:tr w:rsidR="00925CD6" w:rsidRPr="001F3B73" w14:paraId="56A2AF79" w14:textId="77777777" w:rsidTr="4F66A073">
        <w:trPr>
          <w:trHeight w:val="296"/>
        </w:trPr>
        <w:tc>
          <w:tcPr>
            <w:tcW w:w="2490" w:type="dxa"/>
          </w:tcPr>
          <w:p w14:paraId="3323C879" w14:textId="05F18F2C" w:rsidR="00925CD6" w:rsidRPr="001F3B73" w:rsidRDefault="00925CD6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A64959">
              <w:rPr>
                <w:b/>
                <w:bCs/>
                <w:spacing w:val="-3"/>
              </w:rPr>
              <w:t>Attachment</w:t>
            </w:r>
            <w:r w:rsidR="00135A2F">
              <w:rPr>
                <w:b/>
                <w:bCs/>
                <w:spacing w:val="-3"/>
              </w:rPr>
              <w:t>s</w:t>
            </w:r>
            <w:r w:rsidRPr="00A64959">
              <w:rPr>
                <w:b/>
                <w:bCs/>
                <w:spacing w:val="-3"/>
              </w:rPr>
              <w:t>:</w:t>
            </w:r>
          </w:p>
        </w:tc>
        <w:tc>
          <w:tcPr>
            <w:tcW w:w="8220" w:type="dxa"/>
          </w:tcPr>
          <w:p w14:paraId="1CE343E8" w14:textId="218110E7" w:rsidR="00925CD6" w:rsidRDefault="00135A2F" w:rsidP="00135A2F">
            <w:pPr>
              <w:pStyle w:val="BodyTextIndent"/>
              <w:ind w:left="270" w:hanging="270"/>
              <w:jc w:val="both"/>
            </w:pPr>
            <w:r>
              <w:t xml:space="preserve">1. </w:t>
            </w:r>
            <w:r w:rsidR="006D5093" w:rsidRPr="001C286F">
              <w:t>Financial Management Policy for Workforce Innovation and Opportunity Act</w:t>
            </w:r>
            <w:r w:rsidR="00871CE9" w:rsidRPr="001C286F">
              <w:t xml:space="preserve"> </w:t>
            </w:r>
            <w:r w:rsidR="006D5093" w:rsidRPr="001C286F">
              <w:t>Funds</w:t>
            </w:r>
          </w:p>
          <w:p w14:paraId="7ECE97CE" w14:textId="7F302E07" w:rsidR="00135A2F" w:rsidRPr="001C286F" w:rsidDel="00F91176" w:rsidRDefault="00135A2F" w:rsidP="00135A2F">
            <w:pPr>
              <w:pStyle w:val="BodyTextIndent"/>
              <w:ind w:left="270" w:hanging="270"/>
              <w:jc w:val="both"/>
              <w:rPr>
                <w:vertAlign w:val="subscript"/>
              </w:rPr>
            </w:pPr>
            <w:r>
              <w:t xml:space="preserve">2. </w:t>
            </w:r>
            <w:r w:rsidRPr="00681E81">
              <w:t>Financial Management Policy for Workforce Innovation and Opportunity Act Title I</w:t>
            </w:r>
            <w:r w:rsidRPr="003873F9">
              <w:t xml:space="preserve"> Policy Acknowledgement</w:t>
            </w:r>
          </w:p>
        </w:tc>
      </w:tr>
    </w:tbl>
    <w:p w14:paraId="4786C422" w14:textId="0F581DA7" w:rsidR="008B2549" w:rsidRPr="001F3B73" w:rsidRDefault="008B2549">
      <w:pPr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sectPr w:rsidR="008B2549" w:rsidRPr="001F3B73" w:rsidSect="00DC1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FDD8" w14:textId="77777777" w:rsidR="00DD30E7" w:rsidRDefault="00DD30E7" w:rsidP="00221323">
      <w:pPr>
        <w:spacing w:after="0" w:line="240" w:lineRule="auto"/>
      </w:pPr>
      <w:r>
        <w:separator/>
      </w:r>
    </w:p>
  </w:endnote>
  <w:endnote w:type="continuationSeparator" w:id="0">
    <w:p w14:paraId="67AECA8F" w14:textId="77777777" w:rsidR="00DD30E7" w:rsidRDefault="00DD30E7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7E0F" w14:textId="77777777" w:rsidR="00E31A45" w:rsidRDefault="00E31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9125" w14:textId="77777777" w:rsidR="00E31A45" w:rsidRPr="00E31A45" w:rsidRDefault="00E31A45" w:rsidP="00E31A45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E31A45">
      <w:rPr>
        <w:rFonts w:ascii="Times New Roman" w:hAnsi="Times New Roman" w:cs="Times New Roman"/>
        <w:sz w:val="16"/>
        <w:szCs w:val="16"/>
      </w:rPr>
      <w:t>An Equal Opportunity/Affirmative Action Employer/Program.</w:t>
    </w:r>
  </w:p>
  <w:p w14:paraId="7B3F1562" w14:textId="75B10C95" w:rsidR="00221323" w:rsidRPr="00E31A45" w:rsidRDefault="00E31A45" w:rsidP="00E31A45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E31A45">
      <w:rPr>
        <w:rFonts w:ascii="Times New Roman" w:hAnsi="Times New Roman" w:cs="Times New Roman"/>
        <w:sz w:val="16"/>
        <w:szCs w:val="16"/>
      </w:rPr>
      <w:t>Auxiliary aids and services available upon request to individuals with disabilities.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338D" w14:textId="77777777" w:rsidR="00E31A45" w:rsidRDefault="00E3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D5B2" w14:textId="77777777" w:rsidR="00DD30E7" w:rsidRDefault="00DD30E7" w:rsidP="00221323">
      <w:pPr>
        <w:spacing w:after="0" w:line="240" w:lineRule="auto"/>
      </w:pPr>
      <w:r>
        <w:separator/>
      </w:r>
    </w:p>
  </w:footnote>
  <w:footnote w:type="continuationSeparator" w:id="0">
    <w:p w14:paraId="78C118C6" w14:textId="77777777" w:rsidR="00DD30E7" w:rsidRDefault="00DD30E7" w:rsidP="0022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54E1" w14:textId="779795DB" w:rsidR="00D63C8D" w:rsidRDefault="00000000">
    <w:pPr>
      <w:pStyle w:val="Header"/>
    </w:pPr>
    <w:r>
      <w:rPr>
        <w:noProof/>
      </w:rPr>
      <w:pict w14:anchorId="756325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894672" o:spid="_x0000_s1026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C773F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D288CE3" wp14:editId="098BDB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60670" cy="3216275"/>
              <wp:effectExtent l="0" t="1171575" r="0" b="66992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60670" cy="32162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580EE" w14:textId="77777777" w:rsidR="004C773F" w:rsidRDefault="004C773F" w:rsidP="004C773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88CE3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22.1pt;height:253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IZ9AEAAMUDAAAOAAAAZHJzL2Uyb0RvYy54bWysU8tu2zAQvBfoPxC815Id2EkFy4GbNL2k&#10;bYC4yJnmw1Irctklbcl/3yWt2EV7K6oDIS3J2ZnZ0fJ2sB07aAwtuJpPJyVn2klQrdvV/Nvm4d0N&#10;ZyEKp0QHTtf8qAO/Xb19s+x9pWfQQKc0MgJxoep9zZsYfVUUQTbaijABrx1tGkArIn3irlAoekK3&#10;XTEry0XRAyqPIHUIVL0/bfJVxjdGy/jVmKAj62pO3GJeMa/btBarpah2KHzTypGG+AcWVrSOmp6h&#10;7kUUbI/tX1C2lQgBTJxIsAUY00qdNZCaafmHmudGeJ21kDnBn20K/w9Wfjk8+ydkcfgAAw0wiwj+&#10;EeSPwBzcNcLt9BoR+kYLRY2n/FzO9DZHT2PN1Y0e4kfVksfT5GvR+1CN+GkeoQqp07b/DIquiH2E&#10;3G0waBlCunbzvkxPLpM3jBjR0I7nQVEDJqk4v1qUi2vakrR3NZsuZtfz3FJUCS0NwmOInzRYll5q&#10;jpSEDCsOjyEmdpcjI9XE7sQzDtuBjiTKW1BHIt1TQmoefu4FajJgb++AAkWqDYJ9oQiuMct+7bwZ&#10;XgT6sXck2k/da0IygRwVxZywyQn1nYBsR8E7iI7NswUniuPhkewJNd0Nfk32PbRZyYXnqISykgWO&#10;uU5h/P07n7r8fatfAAAA//8DAFBLAwQUAAYACAAAACEAGv0laNwAAAAFAQAADwAAAGRycy9kb3du&#10;cmV2LnhtbEyPwW7CMBBE75X4B2sr9VacUkAozQahRj1wBKqeTbwkae11Gjsk9OvrcqGXlUYzmnmb&#10;rUdrxJk63zhGeJomIIhLpxuuEN4Pb48rED4o1so4JoQLeVjnk7tMpdoNvKPzPlQilrBPFUIdQptK&#10;6cuarPJT1xJH7+Q6q0KUXSV1p4ZYbo2cJclSWtVwXKhVS681lV/73iLon9OlfR6Gw3a7K/pv0xQF&#10;fXwiPtyPmxcQgcZwC8MffkSHPDIdXc/aC4MQHwnXG73VfD4DcURYJMsFyDyT/+nzXwAAAP//AwBQ&#10;SwECLQAUAAYACAAAACEAtoM4kv4AAADhAQAAEwAAAAAAAAAAAAAAAAAAAAAAW0NvbnRlbnRfVHlw&#10;ZXNdLnhtbFBLAQItABQABgAIAAAAIQA4/SH/1gAAAJQBAAALAAAAAAAAAAAAAAAAAC8BAABfcmVs&#10;cy8ucmVsc1BLAQItABQABgAIAAAAIQA04jIZ9AEAAMUDAAAOAAAAAAAAAAAAAAAAAC4CAABkcnMv&#10;ZTJvRG9jLnhtbFBLAQItABQABgAIAAAAIQAa/SVo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96580EE" w14:textId="77777777" w:rsidR="004C773F" w:rsidRDefault="004C773F" w:rsidP="004C773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722F" w14:textId="7FC54083" w:rsidR="00E31A45" w:rsidRDefault="00000000">
    <w:pPr>
      <w:pStyle w:val="Header"/>
    </w:pPr>
    <w:r>
      <w:rPr>
        <w:noProof/>
      </w:rPr>
      <w:pict w14:anchorId="7DF6CA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894673" o:spid="_x0000_s1027" type="#_x0000_t136" style="position:absolute;margin-left:0;margin-top:0;width:412.4pt;height:247.4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0B93" w14:textId="59F07F95" w:rsidR="00E31A45" w:rsidRDefault="00000000">
    <w:pPr>
      <w:pStyle w:val="Header"/>
    </w:pPr>
    <w:r>
      <w:rPr>
        <w:noProof/>
      </w:rPr>
      <w:pict w14:anchorId="7A4F9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894671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333"/>
    <w:multiLevelType w:val="hybridMultilevel"/>
    <w:tmpl w:val="D0AA9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4B85"/>
    <w:multiLevelType w:val="hybridMultilevel"/>
    <w:tmpl w:val="64904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0171B"/>
    <w:multiLevelType w:val="hybridMultilevel"/>
    <w:tmpl w:val="4446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1CBA"/>
    <w:multiLevelType w:val="hybridMultilevel"/>
    <w:tmpl w:val="C9AA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96700"/>
    <w:multiLevelType w:val="hybridMultilevel"/>
    <w:tmpl w:val="19B6DEF6"/>
    <w:lvl w:ilvl="0" w:tplc="12244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480"/>
    <w:multiLevelType w:val="hybridMultilevel"/>
    <w:tmpl w:val="63981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14754E"/>
    <w:multiLevelType w:val="hybridMultilevel"/>
    <w:tmpl w:val="E014E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E37D3"/>
    <w:multiLevelType w:val="hybridMultilevel"/>
    <w:tmpl w:val="1800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C38FD"/>
    <w:multiLevelType w:val="hybridMultilevel"/>
    <w:tmpl w:val="0A1C2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12905">
    <w:abstractNumId w:val="3"/>
  </w:num>
  <w:num w:numId="2" w16cid:durableId="910312458">
    <w:abstractNumId w:val="11"/>
  </w:num>
  <w:num w:numId="3" w16cid:durableId="1160846170">
    <w:abstractNumId w:val="9"/>
  </w:num>
  <w:num w:numId="4" w16cid:durableId="1182285328">
    <w:abstractNumId w:val="8"/>
  </w:num>
  <w:num w:numId="5" w16cid:durableId="1121069867">
    <w:abstractNumId w:val="1"/>
  </w:num>
  <w:num w:numId="6" w16cid:durableId="89132556">
    <w:abstractNumId w:val="4"/>
  </w:num>
  <w:num w:numId="7" w16cid:durableId="1584139555">
    <w:abstractNumId w:val="10"/>
  </w:num>
  <w:num w:numId="8" w16cid:durableId="702290004">
    <w:abstractNumId w:val="12"/>
  </w:num>
  <w:num w:numId="9" w16cid:durableId="811168331">
    <w:abstractNumId w:val="0"/>
  </w:num>
  <w:num w:numId="10" w16cid:durableId="1592008257">
    <w:abstractNumId w:val="5"/>
  </w:num>
  <w:num w:numId="11" w16cid:durableId="513767875">
    <w:abstractNumId w:val="6"/>
  </w:num>
  <w:num w:numId="12" w16cid:durableId="1249383117">
    <w:abstractNumId w:val="13"/>
  </w:num>
  <w:num w:numId="13" w16cid:durableId="1422794537">
    <w:abstractNumId w:val="2"/>
  </w:num>
  <w:num w:numId="14" w16cid:durableId="1164396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20AD8"/>
    <w:rsid w:val="00023B20"/>
    <w:rsid w:val="00033375"/>
    <w:rsid w:val="00043632"/>
    <w:rsid w:val="00056613"/>
    <w:rsid w:val="00091179"/>
    <w:rsid w:val="00094FB5"/>
    <w:rsid w:val="000A3E87"/>
    <w:rsid w:val="000D6B20"/>
    <w:rsid w:val="00100AFB"/>
    <w:rsid w:val="00101C5D"/>
    <w:rsid w:val="0010C0FA"/>
    <w:rsid w:val="00114CB9"/>
    <w:rsid w:val="00115F70"/>
    <w:rsid w:val="00125E1E"/>
    <w:rsid w:val="00135A2F"/>
    <w:rsid w:val="00152FB6"/>
    <w:rsid w:val="0015504C"/>
    <w:rsid w:val="00160142"/>
    <w:rsid w:val="00195BAF"/>
    <w:rsid w:val="00197937"/>
    <w:rsid w:val="001A001E"/>
    <w:rsid w:val="001A0F83"/>
    <w:rsid w:val="001B798D"/>
    <w:rsid w:val="001C286F"/>
    <w:rsid w:val="001D07EA"/>
    <w:rsid w:val="001D26F6"/>
    <w:rsid w:val="001D566E"/>
    <w:rsid w:val="001D7BB9"/>
    <w:rsid w:val="001E43D6"/>
    <w:rsid w:val="001E44DB"/>
    <w:rsid w:val="001E78EF"/>
    <w:rsid w:val="001F3B73"/>
    <w:rsid w:val="001F7319"/>
    <w:rsid w:val="00203BED"/>
    <w:rsid w:val="00221323"/>
    <w:rsid w:val="00221CC5"/>
    <w:rsid w:val="00227779"/>
    <w:rsid w:val="002444FD"/>
    <w:rsid w:val="00257DA9"/>
    <w:rsid w:val="00264DCA"/>
    <w:rsid w:val="00283F78"/>
    <w:rsid w:val="002853C0"/>
    <w:rsid w:val="002D14B3"/>
    <w:rsid w:val="002F7EEC"/>
    <w:rsid w:val="00303C8A"/>
    <w:rsid w:val="00306ACC"/>
    <w:rsid w:val="00344F56"/>
    <w:rsid w:val="00355882"/>
    <w:rsid w:val="00372E94"/>
    <w:rsid w:val="00374497"/>
    <w:rsid w:val="00391237"/>
    <w:rsid w:val="003A0169"/>
    <w:rsid w:val="003A0DAE"/>
    <w:rsid w:val="003A31DE"/>
    <w:rsid w:val="003A64F7"/>
    <w:rsid w:val="003B55D1"/>
    <w:rsid w:val="003B7AA9"/>
    <w:rsid w:val="003C4249"/>
    <w:rsid w:val="003C5753"/>
    <w:rsid w:val="003D4C6F"/>
    <w:rsid w:val="003F4618"/>
    <w:rsid w:val="00402885"/>
    <w:rsid w:val="004142AF"/>
    <w:rsid w:val="00415354"/>
    <w:rsid w:val="004434F6"/>
    <w:rsid w:val="00452D9A"/>
    <w:rsid w:val="00481AB7"/>
    <w:rsid w:val="00486ABC"/>
    <w:rsid w:val="00493C7B"/>
    <w:rsid w:val="00495D0A"/>
    <w:rsid w:val="00496866"/>
    <w:rsid w:val="004A796C"/>
    <w:rsid w:val="004C2384"/>
    <w:rsid w:val="004C30B7"/>
    <w:rsid w:val="004C4AB1"/>
    <w:rsid w:val="004C773F"/>
    <w:rsid w:val="0051282D"/>
    <w:rsid w:val="0051590B"/>
    <w:rsid w:val="005549A4"/>
    <w:rsid w:val="005551B3"/>
    <w:rsid w:val="00555567"/>
    <w:rsid w:val="005822F1"/>
    <w:rsid w:val="0058647E"/>
    <w:rsid w:val="005A1730"/>
    <w:rsid w:val="005B082B"/>
    <w:rsid w:val="005C6C30"/>
    <w:rsid w:val="005E05AB"/>
    <w:rsid w:val="005E09BE"/>
    <w:rsid w:val="005E2BEC"/>
    <w:rsid w:val="005E7D52"/>
    <w:rsid w:val="005F1B8D"/>
    <w:rsid w:val="005F3946"/>
    <w:rsid w:val="005F4763"/>
    <w:rsid w:val="00627B7F"/>
    <w:rsid w:val="00654BFB"/>
    <w:rsid w:val="00657585"/>
    <w:rsid w:val="00662495"/>
    <w:rsid w:val="00663A4A"/>
    <w:rsid w:val="006727F9"/>
    <w:rsid w:val="006828ED"/>
    <w:rsid w:val="0069066F"/>
    <w:rsid w:val="00696573"/>
    <w:rsid w:val="006B23E4"/>
    <w:rsid w:val="006C0830"/>
    <w:rsid w:val="006D1FFD"/>
    <w:rsid w:val="006D2A41"/>
    <w:rsid w:val="006D5093"/>
    <w:rsid w:val="00703774"/>
    <w:rsid w:val="007176BC"/>
    <w:rsid w:val="0072530C"/>
    <w:rsid w:val="007353B3"/>
    <w:rsid w:val="007404B7"/>
    <w:rsid w:val="007517A4"/>
    <w:rsid w:val="007757A1"/>
    <w:rsid w:val="00775A73"/>
    <w:rsid w:val="00790E14"/>
    <w:rsid w:val="007B2384"/>
    <w:rsid w:val="007B40C5"/>
    <w:rsid w:val="007C15BC"/>
    <w:rsid w:val="007E4678"/>
    <w:rsid w:val="007F59FE"/>
    <w:rsid w:val="00803C3C"/>
    <w:rsid w:val="008112E7"/>
    <w:rsid w:val="00813822"/>
    <w:rsid w:val="00814820"/>
    <w:rsid w:val="00817D76"/>
    <w:rsid w:val="00822D0D"/>
    <w:rsid w:val="008428E8"/>
    <w:rsid w:val="00852FEE"/>
    <w:rsid w:val="00853802"/>
    <w:rsid w:val="00856F5D"/>
    <w:rsid w:val="008624FF"/>
    <w:rsid w:val="00867BE6"/>
    <w:rsid w:val="00871CE9"/>
    <w:rsid w:val="0088172A"/>
    <w:rsid w:val="008A7CD3"/>
    <w:rsid w:val="008A7E95"/>
    <w:rsid w:val="008B0917"/>
    <w:rsid w:val="008B2549"/>
    <w:rsid w:val="008C2318"/>
    <w:rsid w:val="008E0C26"/>
    <w:rsid w:val="008E25A9"/>
    <w:rsid w:val="008E331E"/>
    <w:rsid w:val="008E58F1"/>
    <w:rsid w:val="008E6605"/>
    <w:rsid w:val="008E78C6"/>
    <w:rsid w:val="008F264B"/>
    <w:rsid w:val="00905562"/>
    <w:rsid w:val="00925CD6"/>
    <w:rsid w:val="009477A3"/>
    <w:rsid w:val="00951A0E"/>
    <w:rsid w:val="00954EB7"/>
    <w:rsid w:val="00972C01"/>
    <w:rsid w:val="00974361"/>
    <w:rsid w:val="009A3AE7"/>
    <w:rsid w:val="009B20FC"/>
    <w:rsid w:val="009E0382"/>
    <w:rsid w:val="009F141D"/>
    <w:rsid w:val="00A01D6B"/>
    <w:rsid w:val="00A02103"/>
    <w:rsid w:val="00A15D80"/>
    <w:rsid w:val="00A16B75"/>
    <w:rsid w:val="00A216AC"/>
    <w:rsid w:val="00A2364A"/>
    <w:rsid w:val="00A27A5B"/>
    <w:rsid w:val="00A3304B"/>
    <w:rsid w:val="00A33369"/>
    <w:rsid w:val="00A44EC0"/>
    <w:rsid w:val="00A45287"/>
    <w:rsid w:val="00A64959"/>
    <w:rsid w:val="00A7653F"/>
    <w:rsid w:val="00A85F85"/>
    <w:rsid w:val="00A90DE7"/>
    <w:rsid w:val="00AB2BC0"/>
    <w:rsid w:val="00AC63C3"/>
    <w:rsid w:val="00AE2E32"/>
    <w:rsid w:val="00AF0FD7"/>
    <w:rsid w:val="00AF3924"/>
    <w:rsid w:val="00AF4EA5"/>
    <w:rsid w:val="00AF7322"/>
    <w:rsid w:val="00B03623"/>
    <w:rsid w:val="00B040B6"/>
    <w:rsid w:val="00B35E96"/>
    <w:rsid w:val="00B7245B"/>
    <w:rsid w:val="00B80DAD"/>
    <w:rsid w:val="00B86B28"/>
    <w:rsid w:val="00BA1652"/>
    <w:rsid w:val="00BA3360"/>
    <w:rsid w:val="00BA61BA"/>
    <w:rsid w:val="00BB4628"/>
    <w:rsid w:val="00BB4E27"/>
    <w:rsid w:val="00BC4C1D"/>
    <w:rsid w:val="00BC66B4"/>
    <w:rsid w:val="00BC70E3"/>
    <w:rsid w:val="00BD3BAE"/>
    <w:rsid w:val="00C043D1"/>
    <w:rsid w:val="00C108A7"/>
    <w:rsid w:val="00C11A21"/>
    <w:rsid w:val="00C166B2"/>
    <w:rsid w:val="00C231E3"/>
    <w:rsid w:val="00C2566B"/>
    <w:rsid w:val="00C56557"/>
    <w:rsid w:val="00C5791C"/>
    <w:rsid w:val="00C57FF3"/>
    <w:rsid w:val="00C77537"/>
    <w:rsid w:val="00CA5329"/>
    <w:rsid w:val="00CA7BB5"/>
    <w:rsid w:val="00CB15F5"/>
    <w:rsid w:val="00CC75EA"/>
    <w:rsid w:val="00CD155D"/>
    <w:rsid w:val="00CD1F37"/>
    <w:rsid w:val="00CE3113"/>
    <w:rsid w:val="00D20739"/>
    <w:rsid w:val="00D24397"/>
    <w:rsid w:val="00D57283"/>
    <w:rsid w:val="00D63C8D"/>
    <w:rsid w:val="00D7606B"/>
    <w:rsid w:val="00D935A2"/>
    <w:rsid w:val="00DA76FF"/>
    <w:rsid w:val="00DB344C"/>
    <w:rsid w:val="00DB53F9"/>
    <w:rsid w:val="00DC1A5F"/>
    <w:rsid w:val="00DD30E7"/>
    <w:rsid w:val="00DD55D3"/>
    <w:rsid w:val="00DE4836"/>
    <w:rsid w:val="00DF1706"/>
    <w:rsid w:val="00E03FDA"/>
    <w:rsid w:val="00E15435"/>
    <w:rsid w:val="00E25E86"/>
    <w:rsid w:val="00E31A45"/>
    <w:rsid w:val="00E501FA"/>
    <w:rsid w:val="00E63432"/>
    <w:rsid w:val="00E64E7B"/>
    <w:rsid w:val="00EA42B6"/>
    <w:rsid w:val="00EC3FD9"/>
    <w:rsid w:val="00EC4787"/>
    <w:rsid w:val="00EC5B0A"/>
    <w:rsid w:val="00F00CFF"/>
    <w:rsid w:val="00F049F7"/>
    <w:rsid w:val="00F12CB1"/>
    <w:rsid w:val="00F22254"/>
    <w:rsid w:val="00F2326C"/>
    <w:rsid w:val="00F24897"/>
    <w:rsid w:val="00F254C2"/>
    <w:rsid w:val="00F32440"/>
    <w:rsid w:val="00F57233"/>
    <w:rsid w:val="00F621BA"/>
    <w:rsid w:val="00F72668"/>
    <w:rsid w:val="00F91176"/>
    <w:rsid w:val="00F91FE5"/>
    <w:rsid w:val="00F9254E"/>
    <w:rsid w:val="00F95884"/>
    <w:rsid w:val="00FC1280"/>
    <w:rsid w:val="03DE1E2B"/>
    <w:rsid w:val="0C3663B1"/>
    <w:rsid w:val="0CEA57BC"/>
    <w:rsid w:val="0D8E6204"/>
    <w:rsid w:val="12666F58"/>
    <w:rsid w:val="18F5CBBD"/>
    <w:rsid w:val="19ED724A"/>
    <w:rsid w:val="1A50A032"/>
    <w:rsid w:val="1D1BD7F8"/>
    <w:rsid w:val="1EEC7AFE"/>
    <w:rsid w:val="1FA2BAA8"/>
    <w:rsid w:val="2254D3B3"/>
    <w:rsid w:val="2367481D"/>
    <w:rsid w:val="24BE186C"/>
    <w:rsid w:val="28EBB575"/>
    <w:rsid w:val="29505BB1"/>
    <w:rsid w:val="2CD76BE2"/>
    <w:rsid w:val="30C276B9"/>
    <w:rsid w:val="354F349E"/>
    <w:rsid w:val="35F5419B"/>
    <w:rsid w:val="38D45F16"/>
    <w:rsid w:val="3A1229D3"/>
    <w:rsid w:val="3B353D16"/>
    <w:rsid w:val="3DA5E481"/>
    <w:rsid w:val="3E03D6D7"/>
    <w:rsid w:val="4010593B"/>
    <w:rsid w:val="43ADB31A"/>
    <w:rsid w:val="49B9EF72"/>
    <w:rsid w:val="4A9E4707"/>
    <w:rsid w:val="4B4A8136"/>
    <w:rsid w:val="4F66A073"/>
    <w:rsid w:val="5025DB38"/>
    <w:rsid w:val="51B24CD7"/>
    <w:rsid w:val="54F468B8"/>
    <w:rsid w:val="55E8047F"/>
    <w:rsid w:val="60C4C52C"/>
    <w:rsid w:val="65B3CA5F"/>
    <w:rsid w:val="69869B49"/>
    <w:rsid w:val="6C5AEB02"/>
    <w:rsid w:val="6FF788D7"/>
    <w:rsid w:val="70FE3B4D"/>
    <w:rsid w:val="710E9885"/>
    <w:rsid w:val="716247BA"/>
    <w:rsid w:val="730FECF5"/>
    <w:rsid w:val="78CDB8A1"/>
    <w:rsid w:val="7B578FF5"/>
    <w:rsid w:val="7CB2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FB685"/>
  <w15:docId w15:val="{A5C2FBCD-96E7-43DC-8A29-885405F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79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8E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3632"/>
    <w:pPr>
      <w:ind w:left="720"/>
      <w:contextualSpacing/>
    </w:pPr>
  </w:style>
  <w:style w:type="paragraph" w:styleId="Revision">
    <w:name w:val="Revision"/>
    <w:hidden/>
    <w:uiPriority w:val="99"/>
    <w:semiHidden/>
    <w:rsid w:val="00264DCA"/>
    <w:pPr>
      <w:widowControl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D2A41"/>
    <w:rPr>
      <w:color w:val="808080"/>
    </w:rPr>
  </w:style>
  <w:style w:type="character" w:customStyle="1" w:styleId="OGTemplateFont">
    <w:name w:val="OG Template Font"/>
    <w:basedOn w:val="DefaultParagraphFont"/>
    <w:uiPriority w:val="1"/>
    <w:qFormat/>
    <w:rsid w:val="00CA532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F488-C016-4734-BF7B-7140580CB0E0}"/>
      </w:docPartPr>
      <w:docPartBody>
        <w:p w:rsidR="001D6A19" w:rsidRDefault="006D1FFD">
          <w:r w:rsidRPr="000F7B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FD"/>
    <w:rsid w:val="000234AF"/>
    <w:rsid w:val="000C1DF1"/>
    <w:rsid w:val="001D6A19"/>
    <w:rsid w:val="00211597"/>
    <w:rsid w:val="004B5454"/>
    <w:rsid w:val="00510972"/>
    <w:rsid w:val="0051590B"/>
    <w:rsid w:val="00690937"/>
    <w:rsid w:val="006D1FFD"/>
    <w:rsid w:val="007757A1"/>
    <w:rsid w:val="008E25A9"/>
    <w:rsid w:val="008E58F1"/>
    <w:rsid w:val="00954EB7"/>
    <w:rsid w:val="009757AD"/>
    <w:rsid w:val="00A7653F"/>
    <w:rsid w:val="00AE6D07"/>
    <w:rsid w:val="00B6548D"/>
    <w:rsid w:val="00C56557"/>
    <w:rsid w:val="00D7373E"/>
    <w:rsid w:val="00DB344C"/>
    <w:rsid w:val="00E25E86"/>
    <w:rsid w:val="00E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4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A9085BB8BEA43848109E44A3F91CB" ma:contentTypeVersion="13" ma:contentTypeDescription="Create a new document." ma:contentTypeScope="" ma:versionID="6bb834a7ee1d7d9de52cd8c4fbfffa05">
  <xsd:schema xmlns:xsd="http://www.w3.org/2001/XMLSchema" xmlns:xs="http://www.w3.org/2001/XMLSchema" xmlns:p="http://schemas.microsoft.com/office/2006/metadata/properties" xmlns:ns2="912711bc-935c-4ad2-aa1d-910c223f946b" xmlns:ns3="9fe15e75-f9ab-42a1-98bd-e9d96ae534c8" targetNamespace="http://schemas.microsoft.com/office/2006/metadata/properties" ma:root="true" ma:fieldsID="9996ba7edcb7c0f3312633266ccabdec" ns2:_="" ns3:_="">
    <xsd:import namespace="912711bc-935c-4ad2-aa1d-910c223f946b"/>
    <xsd:import namespace="9fe15e75-f9ab-42a1-98bd-e9d96ae53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11bc-935c-4ad2-aa1d-910c223f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5e75-f9ab-42a1-98bd-e9d96ae534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82e3b-bd44-45f7-8e92-27f14583f2a3}" ma:internalName="TaxCatchAll" ma:showField="CatchAllData" ma:web="9fe15e75-f9ab-42a1-98bd-e9d96ae53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711bc-935c-4ad2-aa1d-910c223f946b">
      <Terms xmlns="http://schemas.microsoft.com/office/infopath/2007/PartnerControls"/>
    </lcf76f155ced4ddcb4097134ff3c332f>
    <TaxCatchAll xmlns="9fe15e75-f9ab-42a1-98bd-e9d96ae534c8" xsi:nil="true"/>
  </documentManagement>
</p:properties>
</file>

<file path=customXml/itemProps1.xml><?xml version="1.0" encoding="utf-8"?>
<ds:datastoreItem xmlns:ds="http://schemas.openxmlformats.org/officeDocument/2006/customXml" ds:itemID="{E0A6C015-EA10-4758-8D35-4B2D85B7D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FB450-CEF4-4A2B-9145-42A08F485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11bc-935c-4ad2-aa1d-910c223f946b"/>
    <ds:schemaRef ds:uri="9fe15e75-f9ab-42a1-98bd-e9d96ae5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6B7E4-7157-4B64-A5FD-F28B74E2113E}">
  <ds:schemaRefs>
    <ds:schemaRef ds:uri="http://schemas.microsoft.com/office/2006/metadata/properties"/>
    <ds:schemaRef ds:uri="http://schemas.microsoft.com/office/infopath/2007/PartnerControls"/>
    <ds:schemaRef ds:uri="912711bc-935c-4ad2-aa1d-910c223f946b"/>
    <ds:schemaRef ds:uri="9fe15e75-f9ab-42a1-98bd-e9d96ae53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Shelia</dc:creator>
  <cp:keywords/>
  <dc:description/>
  <cp:lastModifiedBy>German, Berlina Y</cp:lastModifiedBy>
  <cp:revision>2</cp:revision>
  <cp:lastPrinted>2025-04-03T18:29:00Z</cp:lastPrinted>
  <dcterms:created xsi:type="dcterms:W3CDTF">2025-04-03T18:30:00Z</dcterms:created>
  <dcterms:modified xsi:type="dcterms:W3CDTF">2025-04-03T18:30:00Z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0x010100FB6A9085BB8BEA43848109E44A3F91CB</vt:lpwstr>
  </property>
  <property fmtid="{D5CDD505-2E9C-101B-9397-08002B2CF9AE}" pid="5" name="GrammarlyDocumentId">
    <vt:lpwstr>8e74842d7d3a6f02eedbe3cb8bf67eef3d6839aaffcc6d98f993e6d98c7fde95</vt:lpwstr>
  </property>
</Properties>
</file>