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07"/>
        <w:gridCol w:w="6453"/>
      </w:tblGrid>
      <w:tr w:rsidR="00115F70" w:rsidRPr="006A3D2D" w14:paraId="7714C41B" w14:textId="77777777" w:rsidTr="005E05AB">
        <w:trPr>
          <w:jc w:val="center"/>
        </w:trPr>
        <w:tc>
          <w:tcPr>
            <w:tcW w:w="3058" w:type="dxa"/>
            <w:vMerge w:val="restart"/>
            <w:vAlign w:val="center"/>
          </w:tcPr>
          <w:p w14:paraId="0DBB56FE" w14:textId="77777777" w:rsidR="00115F70" w:rsidRPr="006A3D2D" w:rsidRDefault="003D4C6F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3D2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 wp14:anchorId="2596AEA3" wp14:editId="2F53CC36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1399032" cy="13717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032" cy="1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050C3D" w14:textId="77777777" w:rsidR="00115F70" w:rsidRPr="006A3D2D" w:rsidRDefault="00115F70" w:rsidP="00495D0A">
            <w:pPr>
              <w:spacing w:before="16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01A020BE" w14:textId="56C2C3D9" w:rsidR="00115F70" w:rsidRPr="006A3D2D" w:rsidRDefault="002641B5" w:rsidP="003A1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NCWorks Commission</w:t>
            </w:r>
          </w:p>
        </w:tc>
      </w:tr>
      <w:tr w:rsidR="00115F70" w:rsidRPr="006A3D2D" w14:paraId="0730CF8E" w14:textId="77777777" w:rsidTr="00C11A21">
        <w:trPr>
          <w:jc w:val="center"/>
        </w:trPr>
        <w:tc>
          <w:tcPr>
            <w:tcW w:w="3058" w:type="dxa"/>
            <w:vMerge/>
          </w:tcPr>
          <w:p w14:paraId="72B42AA8" w14:textId="77777777" w:rsidR="00115F70" w:rsidRPr="006A3D2D" w:rsidRDefault="0011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04D5552A" w14:textId="0BA0FF05" w:rsidR="00115F70" w:rsidRPr="006A3D2D" w:rsidRDefault="00743769" w:rsidP="00C11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3D2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NCWorks Commission Policy Statement Number:</w:t>
            </w:r>
            <w:r w:rsidR="00DE787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A2135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CPS 03</w:t>
            </w:r>
            <w:r w:rsidR="00DE787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-2024</w:t>
            </w:r>
          </w:p>
        </w:tc>
      </w:tr>
      <w:tr w:rsidR="00115F70" w:rsidRPr="006A3D2D" w14:paraId="0FAF1C27" w14:textId="77777777" w:rsidTr="005E05AB">
        <w:trPr>
          <w:jc w:val="center"/>
        </w:trPr>
        <w:tc>
          <w:tcPr>
            <w:tcW w:w="3058" w:type="dxa"/>
            <w:vMerge/>
          </w:tcPr>
          <w:p w14:paraId="76971CE6" w14:textId="77777777" w:rsidR="00115F70" w:rsidRPr="006A3D2D" w:rsidRDefault="0011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070CC35B" w14:textId="493CE7E2" w:rsidR="00221323" w:rsidRPr="006A3D2D" w:rsidRDefault="00743769" w:rsidP="00495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D2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Date: </w:t>
            </w:r>
            <w:r w:rsidR="0034368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May </w:t>
            </w:r>
            <w:r w:rsidR="00DE787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8, 2024</w:t>
            </w:r>
          </w:p>
        </w:tc>
      </w:tr>
      <w:tr w:rsidR="00115F70" w:rsidRPr="006A3D2D" w14:paraId="35876CF0" w14:textId="77777777" w:rsidTr="005E05AB">
        <w:trPr>
          <w:jc w:val="center"/>
        </w:trPr>
        <w:tc>
          <w:tcPr>
            <w:tcW w:w="3058" w:type="dxa"/>
            <w:vMerge/>
          </w:tcPr>
          <w:p w14:paraId="4BD7D072" w14:textId="77777777" w:rsidR="00115F70" w:rsidRPr="006A3D2D" w:rsidRDefault="00115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76EE783B" w14:textId="5902FB83" w:rsidR="003C4249" w:rsidRPr="006A3D2D" w:rsidRDefault="00743769" w:rsidP="00964DD8">
            <w:pPr>
              <w:spacing w:after="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  <w:r w:rsidR="00343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Work-Based Learning (WBL) Training Programs and Grants</w:t>
            </w:r>
          </w:p>
        </w:tc>
      </w:tr>
      <w:tr w:rsidR="00C043D1" w:rsidRPr="006A3D2D" w14:paraId="0BD07E0C" w14:textId="77777777" w:rsidTr="005E05AB">
        <w:trPr>
          <w:trHeight w:hRule="exact" w:val="1534"/>
          <w:jc w:val="center"/>
        </w:trPr>
        <w:tc>
          <w:tcPr>
            <w:tcW w:w="3058" w:type="dxa"/>
            <w:vMerge/>
          </w:tcPr>
          <w:p w14:paraId="276B169F" w14:textId="77777777" w:rsidR="00C043D1" w:rsidRPr="006A3D2D" w:rsidRDefault="00C0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FEDE460" w14:textId="45069075" w:rsidR="00C043D1" w:rsidRPr="006A3D2D" w:rsidRDefault="00C043D1" w:rsidP="00DE4836">
            <w:pPr>
              <w:tabs>
                <w:tab w:val="left" w:pos="4307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A3D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From:</w:t>
            </w:r>
          </w:p>
          <w:p w14:paraId="27760298" w14:textId="7196F21B" w:rsidR="00091179" w:rsidRPr="006A3D2D" w:rsidRDefault="00091179" w:rsidP="00DE4836">
            <w:pPr>
              <w:tabs>
                <w:tab w:val="left" w:pos="4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432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EA42B6" w:rsidRPr="006A3D2D" w14:paraId="79E58A40" w14:textId="77777777" w:rsidTr="00C11A21">
              <w:trPr>
                <w:jc w:val="center"/>
              </w:trPr>
              <w:tc>
                <w:tcPr>
                  <w:tcW w:w="7396" w:type="dxa"/>
                </w:tcPr>
                <w:p w14:paraId="5729CE8B" w14:textId="40CE304D" w:rsidR="00EA42B6" w:rsidRPr="0026116C" w:rsidRDefault="00885CE7" w:rsidP="00EA42B6">
                  <w:pPr>
                    <w:tabs>
                      <w:tab w:val="left" w:pos="4307"/>
                    </w:tabs>
                    <w:jc w:val="center"/>
                    <w:rPr>
                      <w:rFonts w:ascii="Abadi" w:hAnsi="Abadi" w:cs="Times New Roman"/>
                      <w:b/>
                      <w:noProof/>
                      <w:sz w:val="24"/>
                      <w:szCs w:val="24"/>
                    </w:rPr>
                  </w:pPr>
                  <w:r w:rsidRPr="0026116C">
                    <w:rPr>
                      <w:rFonts w:ascii="Abadi" w:hAnsi="Abadi" w:cs="Times New Roman"/>
                      <w:b/>
                      <w:noProof/>
                      <w:color w:val="FF0000"/>
                    </w:rPr>
                    <w:t>DRAFT</w:t>
                  </w:r>
                </w:p>
              </w:tc>
            </w:tr>
            <w:tr w:rsidR="00EA42B6" w:rsidRPr="006A3D2D" w14:paraId="267DA13F" w14:textId="77777777" w:rsidTr="00C11A21">
              <w:trPr>
                <w:jc w:val="center"/>
              </w:trPr>
              <w:tc>
                <w:tcPr>
                  <w:tcW w:w="7396" w:type="dxa"/>
                </w:tcPr>
                <w:p w14:paraId="6FA19FD5" w14:textId="38202B7F" w:rsidR="00EA42B6" w:rsidRPr="006A3D2D" w:rsidRDefault="00743769" w:rsidP="00EA42B6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6A3D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Tom B. Rabon, Jr.</w:t>
                  </w:r>
                  <w:r w:rsidRPr="006A3D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Chair, NCWorks Commission</w:t>
                  </w:r>
                </w:p>
              </w:tc>
            </w:tr>
          </w:tbl>
          <w:p w14:paraId="375D27E6" w14:textId="77777777" w:rsidR="00C043D1" w:rsidRPr="006A3D2D" w:rsidRDefault="00C043D1" w:rsidP="00495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2EEC3C" w14:textId="0C5F73B5" w:rsidR="001F3B73" w:rsidRPr="006A3D2D" w:rsidRDefault="001F3B73" w:rsidP="006A3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58"/>
        <w:gridCol w:w="7502"/>
      </w:tblGrid>
      <w:tr w:rsidR="00743769" w:rsidRPr="006A3D2D" w14:paraId="698FB2C2" w14:textId="77777777" w:rsidTr="00964DD8">
        <w:trPr>
          <w:jc w:val="center"/>
        </w:trPr>
        <w:tc>
          <w:tcPr>
            <w:tcW w:w="1858" w:type="dxa"/>
          </w:tcPr>
          <w:p w14:paraId="53290A86" w14:textId="71958F0F" w:rsidR="00743769" w:rsidRPr="006A3D2D" w:rsidRDefault="00743769" w:rsidP="00343681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6A3D2D">
              <w:rPr>
                <w:b/>
                <w:bCs/>
                <w:spacing w:val="-3"/>
              </w:rPr>
              <w:t>Purpose:</w:t>
            </w:r>
          </w:p>
        </w:tc>
        <w:tc>
          <w:tcPr>
            <w:tcW w:w="7502" w:type="dxa"/>
          </w:tcPr>
          <w:p w14:paraId="118C251E" w14:textId="3A729444" w:rsidR="0066025D" w:rsidRPr="0077047A" w:rsidRDefault="00250EA5" w:rsidP="00770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47A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To adopt a standardized definition of WBL of the categories identified in the WIOA Desk Reference (attached).</w:t>
            </w:r>
            <w:r w:rsidR="0076175D" w:rsidRPr="0077047A" w:rsidDel="0076175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 w:rsidR="0066025D" w:rsidRPr="0077047A">
              <w:rPr>
                <w:rFonts w:ascii="Times New Roman" w:hAnsi="Times New Roman" w:cs="Times New Roman"/>
                <w:sz w:val="24"/>
                <w:szCs w:val="24"/>
              </w:rPr>
              <w:t xml:space="preserve"> This policy furthers the NCWorks Commission’s commitment to all categories of </w:t>
            </w:r>
            <w:r w:rsidR="00343681" w:rsidRPr="0077047A">
              <w:rPr>
                <w:rFonts w:ascii="Times New Roman" w:hAnsi="Times New Roman" w:cs="Times New Roman"/>
                <w:sz w:val="24"/>
                <w:szCs w:val="24"/>
              </w:rPr>
              <w:t>WBL.</w:t>
            </w:r>
          </w:p>
          <w:p w14:paraId="6885A173" w14:textId="20D4FC11" w:rsidR="00743769" w:rsidRPr="0077047A" w:rsidRDefault="00743769" w:rsidP="00343681">
            <w:pPr>
              <w:pStyle w:val="BodyTextIndent"/>
              <w:ind w:left="0" w:firstLine="0"/>
              <w:jc w:val="both"/>
            </w:pPr>
          </w:p>
        </w:tc>
      </w:tr>
      <w:tr w:rsidR="00743769" w:rsidRPr="006A3D2D" w14:paraId="20D17D11" w14:textId="77777777" w:rsidTr="00964DD8">
        <w:trPr>
          <w:jc w:val="center"/>
        </w:trPr>
        <w:tc>
          <w:tcPr>
            <w:tcW w:w="1858" w:type="dxa"/>
          </w:tcPr>
          <w:p w14:paraId="7CAEC405" w14:textId="119E1E93" w:rsidR="00743769" w:rsidRPr="006A3D2D" w:rsidRDefault="00743769" w:rsidP="00343681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6A3D2D">
              <w:rPr>
                <w:b/>
                <w:bCs/>
                <w:spacing w:val="-3"/>
              </w:rPr>
              <w:t>Background:</w:t>
            </w:r>
          </w:p>
        </w:tc>
        <w:tc>
          <w:tcPr>
            <w:tcW w:w="7502" w:type="dxa"/>
          </w:tcPr>
          <w:p w14:paraId="3F088278" w14:textId="1C2A58EC" w:rsidR="00E976BD" w:rsidRDefault="0066025D" w:rsidP="00770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Based Learning helps bridge the gap between education and industry, allowing employers to benefit from a </w:t>
            </w:r>
            <w:r w:rsidRPr="00AC2005">
              <w:rPr>
                <w:rFonts w:ascii="Times New Roman" w:hAnsi="Times New Roman" w:cs="Times New Roman"/>
                <w:sz w:val="24"/>
                <w:szCs w:val="24"/>
              </w:rPr>
              <w:t>talent pipeline that’s trained in skills that align with employer needs.</w:t>
            </w:r>
            <w:r w:rsidR="00B9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61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1361D" w:rsidRPr="00AC2005">
              <w:rPr>
                <w:rFonts w:ascii="Times New Roman" w:hAnsi="Times New Roman" w:cs="Times New Roman"/>
                <w:sz w:val="24"/>
                <w:szCs w:val="24"/>
              </w:rPr>
              <w:t xml:space="preserve">Workforce Innovation and Opportunity Act (WIOA) </w:t>
            </w:r>
            <w:r w:rsidR="00B97C47">
              <w:rPr>
                <w:rFonts w:ascii="Times New Roman" w:hAnsi="Times New Roman" w:cs="Times New Roman"/>
                <w:sz w:val="24"/>
                <w:szCs w:val="24"/>
              </w:rPr>
              <w:t xml:space="preserve">requires states to improve services offered to employers, including work-based training programs. </w:t>
            </w:r>
            <w:r w:rsidR="00DE787C">
              <w:rPr>
                <w:rFonts w:ascii="Times New Roman" w:hAnsi="Times New Roman" w:cs="Times New Roman"/>
                <w:sz w:val="24"/>
                <w:szCs w:val="24"/>
              </w:rPr>
              <w:t xml:space="preserve">The WBL </w:t>
            </w:r>
            <w:r w:rsidR="00B1361D">
              <w:rPr>
                <w:rFonts w:ascii="Times New Roman" w:hAnsi="Times New Roman" w:cs="Times New Roman"/>
                <w:sz w:val="24"/>
                <w:szCs w:val="24"/>
              </w:rPr>
              <w:t>categories</w:t>
            </w:r>
            <w:r w:rsidR="00B9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61D">
              <w:rPr>
                <w:rFonts w:ascii="Times New Roman" w:hAnsi="Times New Roman" w:cs="Times New Roman"/>
                <w:sz w:val="24"/>
                <w:szCs w:val="24"/>
              </w:rPr>
              <w:t xml:space="preserve">supported by </w:t>
            </w:r>
            <w:r w:rsidR="00B97C47">
              <w:rPr>
                <w:rFonts w:ascii="Times New Roman" w:hAnsi="Times New Roman" w:cs="Times New Roman"/>
                <w:sz w:val="24"/>
                <w:szCs w:val="24"/>
              </w:rPr>
              <w:t xml:space="preserve">WIOA </w:t>
            </w:r>
            <w:r w:rsidR="00B1361D">
              <w:rPr>
                <w:rFonts w:ascii="Times New Roman" w:hAnsi="Times New Roman" w:cs="Times New Roman"/>
                <w:sz w:val="24"/>
                <w:szCs w:val="24"/>
              </w:rPr>
              <w:t>include</w:t>
            </w:r>
            <w:r w:rsidR="00B97C47">
              <w:rPr>
                <w:rFonts w:ascii="Times New Roman" w:hAnsi="Times New Roman" w:cs="Times New Roman"/>
                <w:sz w:val="24"/>
                <w:szCs w:val="24"/>
              </w:rPr>
              <w:t xml:space="preserve"> Adult, Youth</w:t>
            </w:r>
            <w:r w:rsidR="00B136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7C47">
              <w:rPr>
                <w:rFonts w:ascii="Times New Roman" w:hAnsi="Times New Roman" w:cs="Times New Roman"/>
                <w:sz w:val="24"/>
                <w:szCs w:val="24"/>
              </w:rPr>
              <w:t xml:space="preserve"> Dislocated Workers, Statewide Activities and Rapid Response</w:t>
            </w:r>
            <w:r w:rsidR="00B1361D">
              <w:rPr>
                <w:rFonts w:ascii="Times New Roman" w:hAnsi="Times New Roman" w:cs="Times New Roman"/>
                <w:sz w:val="24"/>
                <w:szCs w:val="24"/>
              </w:rPr>
              <w:t>. These categories</w:t>
            </w:r>
            <w:r w:rsidR="00B97C47">
              <w:rPr>
                <w:rFonts w:ascii="Times New Roman" w:hAnsi="Times New Roman" w:cs="Times New Roman"/>
                <w:sz w:val="24"/>
                <w:szCs w:val="24"/>
              </w:rPr>
              <w:t xml:space="preserve"> are detailed in Sections 3, </w:t>
            </w:r>
            <w:r w:rsidR="004E3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7C47">
              <w:rPr>
                <w:rFonts w:ascii="Times New Roman" w:hAnsi="Times New Roman" w:cs="Times New Roman"/>
                <w:sz w:val="24"/>
                <w:szCs w:val="24"/>
              </w:rPr>
              <w:t xml:space="preserve">22 and 134 of the WIOA </w:t>
            </w:r>
            <w:r w:rsidR="00B8197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97C47">
              <w:rPr>
                <w:rFonts w:ascii="Times New Roman" w:hAnsi="Times New Roman" w:cs="Times New Roman"/>
                <w:sz w:val="24"/>
                <w:szCs w:val="24"/>
              </w:rPr>
              <w:t xml:space="preserve">ublic </w:t>
            </w:r>
            <w:r w:rsidR="00B8197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97C47">
              <w:rPr>
                <w:rFonts w:ascii="Times New Roman" w:hAnsi="Times New Roman" w:cs="Times New Roman"/>
                <w:sz w:val="24"/>
                <w:szCs w:val="24"/>
              </w:rPr>
              <w:t>aw</w:t>
            </w:r>
            <w:r w:rsidR="00343681">
              <w:rPr>
                <w:rFonts w:ascii="Times New Roman" w:hAnsi="Times New Roman" w:cs="Times New Roman"/>
                <w:sz w:val="24"/>
                <w:szCs w:val="24"/>
              </w:rPr>
              <w:t xml:space="preserve"> 113-128</w:t>
            </w:r>
            <w:r w:rsidR="00517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7C47">
              <w:rPr>
                <w:rFonts w:ascii="Times New Roman" w:hAnsi="Times New Roman" w:cs="Times New Roman"/>
                <w:sz w:val="24"/>
                <w:szCs w:val="24"/>
              </w:rPr>
              <w:t xml:space="preserve"> The NCWorks Commission has a goal of increasing the number of employers participating in </w:t>
            </w:r>
            <w:r w:rsidR="00343681">
              <w:rPr>
                <w:rFonts w:ascii="Times New Roman" w:hAnsi="Times New Roman" w:cs="Times New Roman"/>
                <w:sz w:val="24"/>
                <w:szCs w:val="24"/>
              </w:rPr>
              <w:t xml:space="preserve">WBL </w:t>
            </w:r>
            <w:r w:rsidR="00B97C47">
              <w:rPr>
                <w:rFonts w:ascii="Times New Roman" w:hAnsi="Times New Roman" w:cs="Times New Roman"/>
                <w:sz w:val="24"/>
                <w:szCs w:val="24"/>
              </w:rPr>
              <w:t>experiences</w:t>
            </w:r>
            <w:r w:rsidR="00770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031B17" w14:textId="77777777" w:rsidR="0066025D" w:rsidRDefault="0066025D" w:rsidP="00770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08210" w14:textId="0AFD4523" w:rsidR="0066025D" w:rsidRDefault="0066025D" w:rsidP="00770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005">
              <w:rPr>
                <w:rFonts w:ascii="Times New Roman" w:hAnsi="Times New Roman" w:cs="Times New Roman"/>
                <w:sz w:val="24"/>
                <w:szCs w:val="24"/>
              </w:rPr>
              <w:t xml:space="preserve">This policy </w:t>
            </w:r>
            <w:r w:rsidR="00E95F92" w:rsidRPr="00AC2005">
              <w:rPr>
                <w:rFonts w:ascii="Times New Roman" w:hAnsi="Times New Roman" w:cs="Times New Roman"/>
                <w:sz w:val="24"/>
                <w:szCs w:val="24"/>
              </w:rPr>
              <w:t xml:space="preserve">is to guide Local </w:t>
            </w:r>
            <w:r w:rsidR="00DE787C"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 w:rsidR="00E95F92" w:rsidRPr="00AC2005">
              <w:rPr>
                <w:rFonts w:ascii="Times New Roman" w:hAnsi="Times New Roman" w:cs="Times New Roman"/>
                <w:sz w:val="24"/>
                <w:szCs w:val="24"/>
              </w:rPr>
              <w:t>Workforce Development Boards (WDBs)</w:t>
            </w:r>
            <w:r w:rsidR="00E95F92">
              <w:rPr>
                <w:rFonts w:ascii="Times New Roman" w:hAnsi="Times New Roman" w:cs="Times New Roman"/>
                <w:sz w:val="24"/>
                <w:szCs w:val="24"/>
              </w:rPr>
              <w:t xml:space="preserve"> on</w:t>
            </w:r>
            <w:r w:rsidRPr="00AC2005">
              <w:rPr>
                <w:rFonts w:ascii="Times New Roman" w:hAnsi="Times New Roman" w:cs="Times New Roman"/>
                <w:sz w:val="24"/>
                <w:szCs w:val="24"/>
              </w:rPr>
              <w:t xml:space="preserve"> the requirements that must be met when using WIOA formula funding to provide </w:t>
            </w:r>
            <w:r w:rsidR="00343681">
              <w:rPr>
                <w:rFonts w:ascii="Times New Roman" w:hAnsi="Times New Roman" w:cs="Times New Roman"/>
                <w:sz w:val="24"/>
                <w:szCs w:val="24"/>
              </w:rPr>
              <w:t>WBL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Training Grants</w:t>
            </w:r>
            <w:r w:rsidR="00E95F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313A">
              <w:rPr>
                <w:rFonts w:ascii="Times New Roman" w:hAnsi="Times New Roman" w:cs="Times New Roman"/>
                <w:sz w:val="24"/>
                <w:szCs w:val="24"/>
              </w:rPr>
              <w:t xml:space="preserve"> and details tools </w:t>
            </w:r>
            <w:r w:rsidR="00343681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="00FE313A">
              <w:rPr>
                <w:rFonts w:ascii="Times New Roman" w:hAnsi="Times New Roman" w:cs="Times New Roman"/>
                <w:sz w:val="24"/>
                <w:szCs w:val="24"/>
              </w:rPr>
              <w:t>our workforce system uses to best serve employers in the state of North Carolina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5C7F" w:rsidRPr="00AC2005">
              <w:rPr>
                <w:rFonts w:ascii="Times New Roman" w:hAnsi="Times New Roman" w:cs="Times New Roman"/>
                <w:sz w:val="24"/>
                <w:szCs w:val="24"/>
              </w:rPr>
              <w:t>However, these tools can be adapted or combined with other services in the workforce system</w:t>
            </w:r>
            <w:r w:rsidR="00985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C7F" w:rsidRPr="00AC2005">
              <w:rPr>
                <w:rFonts w:ascii="Times New Roman" w:hAnsi="Times New Roman" w:cs="Times New Roman"/>
                <w:sz w:val="24"/>
                <w:szCs w:val="24"/>
              </w:rPr>
              <w:t>to best serve the needs of employers.</w:t>
            </w:r>
            <w:r w:rsidR="00985C7F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AC2005">
              <w:rPr>
                <w:rFonts w:ascii="Times New Roman" w:hAnsi="Times New Roman" w:cs="Times New Roman"/>
                <w:sz w:val="24"/>
                <w:szCs w:val="24"/>
              </w:rPr>
              <w:t xml:space="preserve">here may be special instances where the release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AC2005">
              <w:rPr>
                <w:rFonts w:ascii="Times New Roman" w:hAnsi="Times New Roman" w:cs="Times New Roman"/>
                <w:sz w:val="24"/>
                <w:szCs w:val="24"/>
              </w:rPr>
              <w:t xml:space="preserve"> funding may allow WDBs to utilize even more innovative practices to serve employers </w:t>
            </w:r>
            <w:r w:rsidR="00343681">
              <w:rPr>
                <w:rFonts w:ascii="Times New Roman" w:hAnsi="Times New Roman" w:cs="Times New Roman"/>
                <w:sz w:val="24"/>
                <w:szCs w:val="24"/>
              </w:rPr>
              <w:t xml:space="preserve">using </w:t>
            </w:r>
            <w:r w:rsidRPr="00AC2005">
              <w:rPr>
                <w:rFonts w:ascii="Times New Roman" w:hAnsi="Times New Roman" w:cs="Times New Roman"/>
                <w:sz w:val="24"/>
                <w:szCs w:val="24"/>
              </w:rPr>
              <w:t>these tools</w:t>
            </w:r>
            <w:r w:rsidR="00194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5FC" w:rsidRPr="0018469D">
              <w:rPr>
                <w:rFonts w:ascii="Times New Roman" w:hAnsi="Times New Roman" w:cs="Times New Roman"/>
                <w:sz w:val="24"/>
                <w:szCs w:val="24"/>
              </w:rPr>
              <w:t>(20 CFR 682.210(b))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2005">
              <w:rPr>
                <w:rFonts w:ascii="Times New Roman" w:hAnsi="Times New Roman" w:cs="Times New Roman"/>
                <w:sz w:val="24"/>
                <w:szCs w:val="24"/>
              </w:rPr>
              <w:t xml:space="preserve"> The allowability of innovative practices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AC2005">
              <w:rPr>
                <w:rFonts w:ascii="Times New Roman" w:hAnsi="Times New Roman" w:cs="Times New Roman"/>
                <w:sz w:val="24"/>
                <w:szCs w:val="24"/>
              </w:rPr>
              <w:t xml:space="preserve">funding will be </w:t>
            </w:r>
            <w:r w:rsidR="0076175D">
              <w:rPr>
                <w:rFonts w:ascii="Times New Roman" w:hAnsi="Times New Roman" w:cs="Times New Roman"/>
                <w:sz w:val="24"/>
                <w:szCs w:val="24"/>
              </w:rPr>
              <w:t>announc</w:t>
            </w:r>
            <w:r w:rsidR="0076175D" w:rsidRPr="00AC2005">
              <w:rPr>
                <w:rFonts w:ascii="Times New Roman" w:hAnsi="Times New Roman" w:cs="Times New Roman"/>
                <w:sz w:val="24"/>
                <w:szCs w:val="24"/>
              </w:rPr>
              <w:t xml:space="preserve">ed </w:t>
            </w:r>
            <w:r w:rsidRPr="0077047A">
              <w:rPr>
                <w:rFonts w:ascii="Times New Roman" w:hAnsi="Times New Roman" w:cs="Times New Roman"/>
                <w:sz w:val="24"/>
                <w:szCs w:val="24"/>
              </w:rPr>
              <w:t xml:space="preserve">through </w:t>
            </w:r>
            <w:r w:rsidR="00250EA5" w:rsidRPr="0077047A">
              <w:rPr>
                <w:rFonts w:ascii="Times New Roman" w:hAnsi="Times New Roman" w:cs="Times New Roman"/>
                <w:sz w:val="24"/>
                <w:szCs w:val="24"/>
              </w:rPr>
              <w:t>Operational</w:t>
            </w:r>
            <w:r w:rsidR="0076175D" w:rsidRPr="0077047A">
              <w:rPr>
                <w:rFonts w:ascii="Times New Roman" w:hAnsi="Times New Roman" w:cs="Times New Roman"/>
                <w:sz w:val="24"/>
                <w:szCs w:val="24"/>
              </w:rPr>
              <w:t xml:space="preserve"> Guidance</w:t>
            </w:r>
            <w:r w:rsidR="00250EA5" w:rsidRPr="00770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75D" w:rsidRPr="0077047A">
              <w:rPr>
                <w:rFonts w:ascii="Times New Roman" w:hAnsi="Times New Roman" w:cs="Times New Roman"/>
                <w:sz w:val="24"/>
                <w:szCs w:val="24"/>
              </w:rPr>
              <w:t>notice</w:t>
            </w:r>
            <w:r w:rsidRPr="0077047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C2005">
              <w:rPr>
                <w:rFonts w:ascii="Times New Roman" w:hAnsi="Times New Roman" w:cs="Times New Roman"/>
                <w:sz w:val="24"/>
                <w:szCs w:val="24"/>
              </w:rPr>
              <w:t xml:space="preserve"> released by</w:t>
            </w:r>
            <w:r w:rsidR="00DE787C">
              <w:rPr>
                <w:rFonts w:ascii="Times New Roman" w:hAnsi="Times New Roman" w:cs="Times New Roman"/>
                <w:sz w:val="24"/>
                <w:szCs w:val="24"/>
              </w:rPr>
              <w:t xml:space="preserve"> the Division of Workforce Solutions</w:t>
            </w:r>
            <w:r w:rsidRPr="00AC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8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DWS</w:t>
            </w:r>
            <w:r w:rsidR="00DE78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C2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01B041" w14:textId="77777777" w:rsidR="0066025D" w:rsidRDefault="0066025D" w:rsidP="00770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2EFAC" w14:textId="3F3ADB70" w:rsidR="00743769" w:rsidRPr="006A3D2D" w:rsidRDefault="0066025D" w:rsidP="00770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Across North Carolina, workforce development organizations, including</w:t>
            </w:r>
            <w:r w:rsidR="00184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681">
              <w:rPr>
                <w:rFonts w:ascii="Times New Roman" w:hAnsi="Times New Roman" w:cs="Times New Roman"/>
                <w:sz w:val="24"/>
                <w:szCs w:val="24"/>
              </w:rPr>
              <w:t>WDBs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Department of Health and Human Services, Department of Public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Instruction, and the North Carolina Community College System administer </w:t>
            </w:r>
            <w:r w:rsidR="00343681">
              <w:rPr>
                <w:rFonts w:ascii="Times New Roman" w:hAnsi="Times New Roman" w:cs="Times New Roman"/>
                <w:sz w:val="24"/>
                <w:szCs w:val="24"/>
              </w:rPr>
              <w:t>WBL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programs and track individuals that participate in these training activities. Strengthening support for employer engagement and participation </w:t>
            </w:r>
            <w:r w:rsidR="00343681">
              <w:rPr>
                <w:rFonts w:ascii="Times New Roman" w:hAnsi="Times New Roman" w:cs="Times New Roman"/>
                <w:sz w:val="24"/>
                <w:szCs w:val="24"/>
              </w:rPr>
              <w:t>WBL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will enhance North Carolina’s understanding of employer needs, illustrate outcomes and successes, and align with the NCWorks Commission’s Strategic Plan to increase the number of employers participating in </w:t>
            </w:r>
            <w:r w:rsidR="00343681">
              <w:rPr>
                <w:rFonts w:ascii="Times New Roman" w:hAnsi="Times New Roman" w:cs="Times New Roman"/>
                <w:sz w:val="24"/>
                <w:szCs w:val="24"/>
              </w:rPr>
              <w:t>WBL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opportunities. Developing a standardized definition of </w:t>
            </w:r>
            <w:r w:rsidR="00343681">
              <w:rPr>
                <w:rFonts w:ascii="Times New Roman" w:hAnsi="Times New Roman" w:cs="Times New Roman"/>
                <w:sz w:val="24"/>
                <w:szCs w:val="24"/>
              </w:rPr>
              <w:t>WBL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strengthening data collection </w:t>
            </w:r>
            <w:r w:rsidR="00383245">
              <w:rPr>
                <w:rFonts w:ascii="Times New Roman" w:hAnsi="Times New Roman" w:cs="Times New Roman"/>
                <w:sz w:val="24"/>
                <w:szCs w:val="24"/>
              </w:rPr>
              <w:t xml:space="preserve">and tracking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employer</w:t>
            </w:r>
            <w:r w:rsidR="007700FE">
              <w:rPr>
                <w:rFonts w:ascii="Times New Roman" w:hAnsi="Times New Roman" w:cs="Times New Roman"/>
                <w:sz w:val="24"/>
                <w:szCs w:val="24"/>
              </w:rPr>
              <w:t xml:space="preserve">s participating </w:t>
            </w:r>
            <w:r w:rsidR="008D370A">
              <w:rPr>
                <w:rFonts w:ascii="Times New Roman" w:hAnsi="Times New Roman" w:cs="Times New Roman"/>
                <w:sz w:val="24"/>
                <w:szCs w:val="24"/>
              </w:rPr>
              <w:t xml:space="preserve">in these opportunities will position North Carolina to better assess </w:t>
            </w:r>
            <w:r w:rsidR="00B8197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8D370A">
              <w:rPr>
                <w:rFonts w:ascii="Times New Roman" w:hAnsi="Times New Roman" w:cs="Times New Roman"/>
                <w:sz w:val="24"/>
                <w:szCs w:val="24"/>
              </w:rPr>
              <w:t xml:space="preserve"> impact in areas such as employer location, size, and industry. Additionally, this data strengthens the ability to align </w:t>
            </w:r>
            <w:r w:rsidR="00F24EE2">
              <w:rPr>
                <w:rFonts w:ascii="Times New Roman" w:hAnsi="Times New Roman" w:cs="Times New Roman"/>
                <w:sz w:val="24"/>
                <w:szCs w:val="24"/>
              </w:rPr>
              <w:t>WBL</w:t>
            </w:r>
            <w:r w:rsidR="008D370A">
              <w:rPr>
                <w:rFonts w:ascii="Times New Roman" w:hAnsi="Times New Roman" w:cs="Times New Roman"/>
                <w:sz w:val="24"/>
                <w:szCs w:val="24"/>
              </w:rPr>
              <w:t xml:space="preserve"> opportunities to meet employer needs such as skills gaps, talent pipeline and labor market challenges.</w:t>
            </w:r>
          </w:p>
        </w:tc>
      </w:tr>
      <w:tr w:rsidR="00743769" w:rsidRPr="006A3D2D" w14:paraId="6AC0E71E" w14:textId="77777777" w:rsidTr="00964DD8">
        <w:trPr>
          <w:jc w:val="center"/>
        </w:trPr>
        <w:tc>
          <w:tcPr>
            <w:tcW w:w="1858" w:type="dxa"/>
          </w:tcPr>
          <w:p w14:paraId="4D072C84" w14:textId="65491BCD" w:rsidR="00743769" w:rsidRPr="006A3D2D" w:rsidRDefault="00743769" w:rsidP="00343681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6A3D2D">
              <w:rPr>
                <w:b/>
                <w:bCs/>
                <w:spacing w:val="-3"/>
              </w:rPr>
              <w:lastRenderedPageBreak/>
              <w:t>Action:</w:t>
            </w:r>
          </w:p>
        </w:tc>
        <w:tc>
          <w:tcPr>
            <w:tcW w:w="7502" w:type="dxa"/>
          </w:tcPr>
          <w:p w14:paraId="2743AFED" w14:textId="2D0BEE7B" w:rsidR="00743769" w:rsidRPr="006A3D2D" w:rsidRDefault="00DE787C" w:rsidP="0077047A">
            <w:pPr>
              <w:pStyle w:val="BodyTextIndent"/>
              <w:ind w:left="0" w:firstLine="0"/>
              <w:jc w:val="both"/>
              <w:rPr>
                <w:color w:val="444444"/>
                <w:shd w:val="clear" w:color="auto" w:fill="FFFFFF"/>
              </w:rPr>
            </w:pPr>
            <w:r>
              <w:t>The</w:t>
            </w:r>
            <w:r w:rsidR="0066025D" w:rsidRPr="00FB64C0">
              <w:t xml:space="preserve"> WDBs are required to determine the eligibility of the Employer and trainee before awarding a </w:t>
            </w:r>
            <w:r w:rsidR="00F24EE2">
              <w:t>WBL</w:t>
            </w:r>
            <w:r w:rsidR="0066025D" w:rsidRPr="00FB64C0">
              <w:t xml:space="preserve"> Training Grant</w:t>
            </w:r>
            <w:r w:rsidR="001945FC">
              <w:t xml:space="preserve"> (20 CFR 680.810)</w:t>
            </w:r>
            <w:r w:rsidR="0066025D" w:rsidRPr="00FB64C0">
              <w:t xml:space="preserve">. </w:t>
            </w:r>
            <w:r w:rsidR="0066025D">
              <w:t>Work-Based Learning</w:t>
            </w:r>
            <w:r w:rsidR="0066025D" w:rsidRPr="004A4BEC">
              <w:t xml:space="preserve"> tools will be utilized, adapted, and combined with other services to provide employers flexibility in retaining or hiring a trained workforce.</w:t>
            </w:r>
            <w:r w:rsidR="0066025D">
              <w:t xml:space="preserve"> </w:t>
            </w:r>
            <w:r w:rsidR="00CA0AE1">
              <w:t xml:space="preserve">The </w:t>
            </w:r>
            <w:r>
              <w:t>DWS</w:t>
            </w:r>
            <w:r w:rsidR="0018469D">
              <w:t xml:space="preserve"> </w:t>
            </w:r>
            <w:r w:rsidR="0066025D" w:rsidRPr="00D975EA">
              <w:t xml:space="preserve">will provide </w:t>
            </w:r>
            <w:r w:rsidR="001159D2">
              <w:t>Operational G</w:t>
            </w:r>
            <w:r w:rsidR="00C207C5">
              <w:t>uidance</w:t>
            </w:r>
            <w:r w:rsidR="001159D2">
              <w:t xml:space="preserve"> notices</w:t>
            </w:r>
            <w:bookmarkStart w:id="0" w:name="_GoBack"/>
            <w:bookmarkEnd w:id="0"/>
            <w:r w:rsidR="00C207C5">
              <w:t xml:space="preserve"> on </w:t>
            </w:r>
            <w:r w:rsidR="004538E0">
              <w:t xml:space="preserve">how WDBs can support the types of </w:t>
            </w:r>
            <w:r w:rsidR="00F24EE2">
              <w:t>WBL</w:t>
            </w:r>
            <w:r>
              <w:t xml:space="preserve"> activities</w:t>
            </w:r>
            <w:r w:rsidR="004538E0">
              <w:t xml:space="preserve"> identified in the </w:t>
            </w:r>
            <w:r w:rsidR="00F24EE2">
              <w:t xml:space="preserve">attached </w:t>
            </w:r>
            <w:r>
              <w:t xml:space="preserve">United States Department of Labor (USDOL) </w:t>
            </w:r>
            <w:r w:rsidR="004538E0">
              <w:t>WIOA Desk Reference</w:t>
            </w:r>
            <w:r w:rsidR="00F140EB">
              <w:t>;</w:t>
            </w:r>
            <w:r w:rsidR="0091676E">
              <w:t xml:space="preserve"> on collection and reporting data of employers participating in </w:t>
            </w:r>
            <w:r w:rsidR="00F24EE2">
              <w:t>WBL</w:t>
            </w:r>
            <w:r w:rsidR="0091676E">
              <w:t xml:space="preserve"> opportunities</w:t>
            </w:r>
            <w:r w:rsidR="00F140EB">
              <w:t>;</w:t>
            </w:r>
            <w:r w:rsidR="004538E0" w:rsidRPr="00D975EA">
              <w:t xml:space="preserve"> </w:t>
            </w:r>
            <w:r w:rsidR="001232AB">
              <w:t xml:space="preserve">and provide </w:t>
            </w:r>
            <w:r w:rsidR="0066025D" w:rsidRPr="00D975EA">
              <w:t>template</w:t>
            </w:r>
            <w:r w:rsidR="001232AB">
              <w:t xml:space="preserve">s </w:t>
            </w:r>
            <w:r w:rsidR="004C17CA">
              <w:t>including</w:t>
            </w:r>
            <w:r w:rsidR="0066025D" w:rsidRPr="00D975EA">
              <w:t xml:space="preserve"> applications, contract</w:t>
            </w:r>
            <w:r w:rsidR="004C17CA">
              <w:t xml:space="preserve"> agreement</w:t>
            </w:r>
            <w:r w:rsidR="0066025D" w:rsidRPr="00D975EA">
              <w:t>s</w:t>
            </w:r>
            <w:r w:rsidR="004C17CA">
              <w:t xml:space="preserve"> and </w:t>
            </w:r>
            <w:r w:rsidR="0066025D" w:rsidRPr="00D975EA">
              <w:t>evaluations.</w:t>
            </w:r>
          </w:p>
        </w:tc>
      </w:tr>
      <w:tr w:rsidR="00743769" w:rsidRPr="006A3D2D" w14:paraId="4F1A0557" w14:textId="77777777" w:rsidTr="00964DD8">
        <w:trPr>
          <w:jc w:val="center"/>
        </w:trPr>
        <w:tc>
          <w:tcPr>
            <w:tcW w:w="1858" w:type="dxa"/>
          </w:tcPr>
          <w:p w14:paraId="1CA34F6F" w14:textId="33A38408" w:rsidR="00743769" w:rsidRPr="006A3D2D" w:rsidRDefault="00743769" w:rsidP="00343681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6A3D2D">
              <w:rPr>
                <w:b/>
                <w:bCs/>
                <w:spacing w:val="-3"/>
              </w:rPr>
              <w:t>Effective Date:</w:t>
            </w:r>
          </w:p>
        </w:tc>
        <w:tc>
          <w:tcPr>
            <w:tcW w:w="7502" w:type="dxa"/>
          </w:tcPr>
          <w:p w14:paraId="402B1038" w14:textId="0F40670C" w:rsidR="00743769" w:rsidRPr="006A3D2D" w:rsidRDefault="0066025D" w:rsidP="0077047A">
            <w:pPr>
              <w:pStyle w:val="BodyTextIndent"/>
              <w:ind w:left="0" w:firstLine="0"/>
              <w:jc w:val="both"/>
            </w:pPr>
            <w:r>
              <w:t>July 1, 2024</w:t>
            </w:r>
          </w:p>
        </w:tc>
      </w:tr>
      <w:tr w:rsidR="00743769" w:rsidRPr="006A3D2D" w14:paraId="678B8686" w14:textId="77777777" w:rsidTr="00964DD8">
        <w:trPr>
          <w:jc w:val="center"/>
        </w:trPr>
        <w:tc>
          <w:tcPr>
            <w:tcW w:w="1858" w:type="dxa"/>
          </w:tcPr>
          <w:p w14:paraId="595E93AD" w14:textId="230CF8E1" w:rsidR="00743769" w:rsidRPr="006A3D2D" w:rsidRDefault="00743769" w:rsidP="00343681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6A3D2D">
              <w:rPr>
                <w:b/>
                <w:bCs/>
                <w:spacing w:val="-3"/>
              </w:rPr>
              <w:t>Expiration:</w:t>
            </w:r>
          </w:p>
        </w:tc>
        <w:tc>
          <w:tcPr>
            <w:tcW w:w="7502" w:type="dxa"/>
          </w:tcPr>
          <w:p w14:paraId="1C544298" w14:textId="7C00CCB4" w:rsidR="00743769" w:rsidRPr="006A3D2D" w:rsidRDefault="00F24EE2" w:rsidP="0077047A">
            <w:pPr>
              <w:pStyle w:val="BodyTextIndent"/>
              <w:ind w:left="0" w:firstLine="0"/>
              <w:jc w:val="both"/>
            </w:pPr>
            <w:r>
              <w:t xml:space="preserve"> Indefinite</w:t>
            </w:r>
          </w:p>
        </w:tc>
      </w:tr>
      <w:tr w:rsidR="00743769" w:rsidRPr="006A3D2D" w14:paraId="0DED4BB7" w14:textId="77777777" w:rsidTr="00964DD8">
        <w:trPr>
          <w:jc w:val="center"/>
        </w:trPr>
        <w:tc>
          <w:tcPr>
            <w:tcW w:w="1858" w:type="dxa"/>
          </w:tcPr>
          <w:p w14:paraId="27BF089C" w14:textId="2BD28FA8" w:rsidR="00743769" w:rsidRPr="006A3D2D" w:rsidRDefault="00743769" w:rsidP="00343681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6A3D2D">
              <w:rPr>
                <w:b/>
                <w:bCs/>
                <w:spacing w:val="-3"/>
              </w:rPr>
              <w:t>Contact:</w:t>
            </w:r>
          </w:p>
        </w:tc>
        <w:tc>
          <w:tcPr>
            <w:tcW w:w="7502" w:type="dxa"/>
          </w:tcPr>
          <w:p w14:paraId="66BA2368" w14:textId="1EBDB54B" w:rsidR="00743769" w:rsidRPr="006A3D2D" w:rsidRDefault="0066025D" w:rsidP="0077047A">
            <w:pPr>
              <w:pStyle w:val="BodyTextIndent"/>
              <w:ind w:left="0" w:firstLine="0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DWS Business Services</w:t>
            </w:r>
          </w:p>
        </w:tc>
      </w:tr>
      <w:tr w:rsidR="00743769" w:rsidRPr="006A3D2D" w14:paraId="56A2AF79" w14:textId="77777777" w:rsidTr="00964DD8">
        <w:trPr>
          <w:jc w:val="center"/>
        </w:trPr>
        <w:tc>
          <w:tcPr>
            <w:tcW w:w="1858" w:type="dxa"/>
          </w:tcPr>
          <w:p w14:paraId="3323C879" w14:textId="45BA09D4" w:rsidR="00743769" w:rsidRPr="006A3D2D" w:rsidRDefault="00743769" w:rsidP="00343681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2413E2">
              <w:rPr>
                <w:b/>
                <w:bCs/>
                <w:spacing w:val="-3"/>
              </w:rPr>
              <w:t>Attachment:</w:t>
            </w:r>
          </w:p>
        </w:tc>
        <w:tc>
          <w:tcPr>
            <w:tcW w:w="7502" w:type="dxa"/>
            <w:shd w:val="clear" w:color="auto" w:fill="auto"/>
          </w:tcPr>
          <w:p w14:paraId="7ECE97CE" w14:textId="0D17EE59" w:rsidR="00743769" w:rsidRPr="0018469D" w:rsidDel="00F91176" w:rsidRDefault="00DE787C" w:rsidP="0077047A">
            <w:pPr>
              <w:pStyle w:val="BodyTextIndent"/>
              <w:ind w:left="0" w:firstLine="0"/>
              <w:jc w:val="both"/>
            </w:pPr>
            <w:r w:rsidRPr="0018469D">
              <w:rPr>
                <w:color w:val="000000"/>
              </w:rPr>
              <w:t>USDOL WIOA Work-Based Learning Desk Reference</w:t>
            </w:r>
          </w:p>
        </w:tc>
      </w:tr>
    </w:tbl>
    <w:p w14:paraId="7C7C8885" w14:textId="508E5F6F" w:rsidR="001F3B73" w:rsidRPr="006A3D2D" w:rsidRDefault="001F3B73" w:rsidP="007704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31F01D" w14:textId="77777777" w:rsidR="001F3B73" w:rsidRPr="006A3D2D" w:rsidRDefault="001F3B73" w:rsidP="007704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F3B73" w:rsidRPr="006A3D2D" w:rsidSect="00356B46">
      <w:headerReference w:type="even" r:id="rId12"/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B8AE7" w14:textId="77777777" w:rsidR="004D4FFC" w:rsidRDefault="004D4FFC" w:rsidP="00221323">
      <w:pPr>
        <w:spacing w:after="0" w:line="240" w:lineRule="auto"/>
      </w:pPr>
      <w:r>
        <w:separator/>
      </w:r>
    </w:p>
  </w:endnote>
  <w:endnote w:type="continuationSeparator" w:id="0">
    <w:p w14:paraId="4511412B" w14:textId="77777777" w:rsidR="004D4FFC" w:rsidRDefault="004D4FFC" w:rsidP="0022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44226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9D3ABC" w14:textId="77777777" w:rsidR="00C11A21" w:rsidRPr="00DC1A5F" w:rsidRDefault="00C11A21" w:rsidP="00DC1A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A5F">
              <w:rPr>
                <w:rFonts w:ascii="Times New Roman" w:hAnsi="Times New Roman" w:cs="Times New Roman"/>
                <w:sz w:val="16"/>
                <w:szCs w:val="16"/>
              </w:rPr>
              <w:t>An Equal Opportunity/Affirmative Action Employer/Program.</w:t>
            </w:r>
          </w:p>
          <w:p w14:paraId="7B3F1562" w14:textId="5906A5B9" w:rsidR="00221323" w:rsidRPr="001F3B73" w:rsidRDefault="00C11A21" w:rsidP="00DC1A5F">
            <w:pPr>
              <w:spacing w:after="0"/>
              <w:jc w:val="center"/>
            </w:pPr>
            <w:r w:rsidRPr="00DC1A5F">
              <w:rPr>
                <w:rFonts w:ascii="Times New Roman" w:hAnsi="Times New Roman" w:cs="Times New Roman"/>
                <w:sz w:val="16"/>
                <w:szCs w:val="16"/>
              </w:rPr>
              <w:t>Auxiliary aids and services available upon request to individuals with disabilities.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945F5" w14:textId="77777777" w:rsidR="004D4FFC" w:rsidRDefault="004D4FFC" w:rsidP="00221323">
      <w:pPr>
        <w:spacing w:after="0" w:line="240" w:lineRule="auto"/>
      </w:pPr>
      <w:r>
        <w:separator/>
      </w:r>
    </w:p>
  </w:footnote>
  <w:footnote w:type="continuationSeparator" w:id="0">
    <w:p w14:paraId="3ECCE943" w14:textId="77777777" w:rsidR="004D4FFC" w:rsidRDefault="004D4FFC" w:rsidP="00221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C54E1" w14:textId="47B1C11F" w:rsidR="00D63C8D" w:rsidRDefault="004D4FFC">
    <w:pPr>
      <w:pStyle w:val="Header"/>
    </w:pPr>
    <w:r>
      <w:rPr>
        <w:noProof/>
      </w:rPr>
      <w:pict w14:anchorId="6D288C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22.1pt;height:253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4675790"/>
      <w:docPartObj>
        <w:docPartGallery w:val="Watermarks"/>
        <w:docPartUnique/>
      </w:docPartObj>
    </w:sdtPr>
    <w:sdtEndPr/>
    <w:sdtContent>
      <w:p w14:paraId="317B6E9D" w14:textId="45174088" w:rsidR="00967AC8" w:rsidRDefault="004D4FFC">
        <w:pPr>
          <w:pStyle w:val="Header"/>
        </w:pPr>
        <w:r>
          <w:rPr>
            <w:noProof/>
          </w:rPr>
          <w:pict w14:anchorId="2F43459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4121"/>
    <w:multiLevelType w:val="hybridMultilevel"/>
    <w:tmpl w:val="C122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8724F"/>
    <w:multiLevelType w:val="hybridMultilevel"/>
    <w:tmpl w:val="4578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F60CD"/>
    <w:multiLevelType w:val="hybridMultilevel"/>
    <w:tmpl w:val="70B8A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0171B"/>
    <w:multiLevelType w:val="hybridMultilevel"/>
    <w:tmpl w:val="4446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C62C8"/>
    <w:multiLevelType w:val="hybridMultilevel"/>
    <w:tmpl w:val="B92A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11CA3"/>
    <w:multiLevelType w:val="hybridMultilevel"/>
    <w:tmpl w:val="9D5427C6"/>
    <w:lvl w:ilvl="0" w:tplc="28E8A286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AAA8A">
      <w:start w:val="1"/>
      <w:numFmt w:val="bullet"/>
      <w:lvlText w:val="o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6035C">
      <w:start w:val="1"/>
      <w:numFmt w:val="bullet"/>
      <w:lvlText w:val="▪"/>
      <w:lvlJc w:val="left"/>
      <w:pPr>
        <w:ind w:left="2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6CBEE">
      <w:start w:val="1"/>
      <w:numFmt w:val="bullet"/>
      <w:lvlText w:val="•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A0FDA">
      <w:start w:val="1"/>
      <w:numFmt w:val="bullet"/>
      <w:lvlText w:val="o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C0CA2">
      <w:start w:val="1"/>
      <w:numFmt w:val="bullet"/>
      <w:lvlText w:val="▪"/>
      <w:lvlJc w:val="left"/>
      <w:pPr>
        <w:ind w:left="4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2A806">
      <w:start w:val="1"/>
      <w:numFmt w:val="bullet"/>
      <w:lvlText w:val="•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27198">
      <w:start w:val="1"/>
      <w:numFmt w:val="bullet"/>
      <w:lvlText w:val="o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E7E38">
      <w:start w:val="1"/>
      <w:numFmt w:val="bullet"/>
      <w:lvlText w:val="▪"/>
      <w:lvlJc w:val="left"/>
      <w:pPr>
        <w:ind w:left="6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270E6D"/>
    <w:multiLevelType w:val="hybridMultilevel"/>
    <w:tmpl w:val="4BD234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3804EA1"/>
    <w:multiLevelType w:val="multilevel"/>
    <w:tmpl w:val="81EE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14754E"/>
    <w:multiLevelType w:val="hybridMultilevel"/>
    <w:tmpl w:val="E014E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A3BDD"/>
    <w:multiLevelType w:val="hybridMultilevel"/>
    <w:tmpl w:val="AE06A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70"/>
    <w:rsid w:val="00020AD8"/>
    <w:rsid w:val="00023B20"/>
    <w:rsid w:val="00033375"/>
    <w:rsid w:val="00043632"/>
    <w:rsid w:val="00056613"/>
    <w:rsid w:val="00091179"/>
    <w:rsid w:val="00094FB5"/>
    <w:rsid w:val="000B253A"/>
    <w:rsid w:val="000D6B20"/>
    <w:rsid w:val="00101C5D"/>
    <w:rsid w:val="0010C0FA"/>
    <w:rsid w:val="00114CB9"/>
    <w:rsid w:val="001159D2"/>
    <w:rsid w:val="00115F70"/>
    <w:rsid w:val="001232AB"/>
    <w:rsid w:val="00125E1E"/>
    <w:rsid w:val="0015504C"/>
    <w:rsid w:val="00155356"/>
    <w:rsid w:val="00160142"/>
    <w:rsid w:val="0018469D"/>
    <w:rsid w:val="001945FC"/>
    <w:rsid w:val="00195BAF"/>
    <w:rsid w:val="00197937"/>
    <w:rsid w:val="001A001E"/>
    <w:rsid w:val="001A0F83"/>
    <w:rsid w:val="001D07EA"/>
    <w:rsid w:val="001D566E"/>
    <w:rsid w:val="001D7BB9"/>
    <w:rsid w:val="001E78EF"/>
    <w:rsid w:val="001F3B73"/>
    <w:rsid w:val="001F7319"/>
    <w:rsid w:val="00203BED"/>
    <w:rsid w:val="00203CFC"/>
    <w:rsid w:val="00221323"/>
    <w:rsid w:val="00221CC5"/>
    <w:rsid w:val="00227779"/>
    <w:rsid w:val="002413E2"/>
    <w:rsid w:val="002444FD"/>
    <w:rsid w:val="00250EA5"/>
    <w:rsid w:val="00257DA9"/>
    <w:rsid w:val="0026116C"/>
    <w:rsid w:val="002641B5"/>
    <w:rsid w:val="00264DCA"/>
    <w:rsid w:val="002747C6"/>
    <w:rsid w:val="00283F78"/>
    <w:rsid w:val="002853C0"/>
    <w:rsid w:val="002D14B3"/>
    <w:rsid w:val="00303C8A"/>
    <w:rsid w:val="00306ACC"/>
    <w:rsid w:val="00307DFA"/>
    <w:rsid w:val="00343681"/>
    <w:rsid w:val="00355882"/>
    <w:rsid w:val="00356B46"/>
    <w:rsid w:val="00372E94"/>
    <w:rsid w:val="00374497"/>
    <w:rsid w:val="00383245"/>
    <w:rsid w:val="00391237"/>
    <w:rsid w:val="003A0DAE"/>
    <w:rsid w:val="003A18B9"/>
    <w:rsid w:val="003A2A84"/>
    <w:rsid w:val="003A64F7"/>
    <w:rsid w:val="003B55D1"/>
    <w:rsid w:val="003B7AA9"/>
    <w:rsid w:val="003C4249"/>
    <w:rsid w:val="003C5753"/>
    <w:rsid w:val="003D4C6F"/>
    <w:rsid w:val="003D7B4D"/>
    <w:rsid w:val="003F4618"/>
    <w:rsid w:val="00402885"/>
    <w:rsid w:val="0040713F"/>
    <w:rsid w:val="004142AF"/>
    <w:rsid w:val="00415354"/>
    <w:rsid w:val="004434F6"/>
    <w:rsid w:val="00452D9A"/>
    <w:rsid w:val="004538E0"/>
    <w:rsid w:val="00481AB7"/>
    <w:rsid w:val="00486ABC"/>
    <w:rsid w:val="00493C7B"/>
    <w:rsid w:val="00495D0A"/>
    <w:rsid w:val="00496866"/>
    <w:rsid w:val="004A796C"/>
    <w:rsid w:val="004B1126"/>
    <w:rsid w:val="004C17CA"/>
    <w:rsid w:val="004C30B7"/>
    <w:rsid w:val="004C4AB1"/>
    <w:rsid w:val="004D4FFC"/>
    <w:rsid w:val="004E3322"/>
    <w:rsid w:val="0051282D"/>
    <w:rsid w:val="00517CCC"/>
    <w:rsid w:val="005549A4"/>
    <w:rsid w:val="005551B3"/>
    <w:rsid w:val="0056080E"/>
    <w:rsid w:val="005822F1"/>
    <w:rsid w:val="0058647E"/>
    <w:rsid w:val="005A47CF"/>
    <w:rsid w:val="005C6C30"/>
    <w:rsid w:val="005E05AB"/>
    <w:rsid w:val="005E09BE"/>
    <w:rsid w:val="005E2BEC"/>
    <w:rsid w:val="005E7D52"/>
    <w:rsid w:val="005F1B8D"/>
    <w:rsid w:val="005F4763"/>
    <w:rsid w:val="00601C76"/>
    <w:rsid w:val="00605C1C"/>
    <w:rsid w:val="006122C8"/>
    <w:rsid w:val="00627B7F"/>
    <w:rsid w:val="00654BFB"/>
    <w:rsid w:val="0066025D"/>
    <w:rsid w:val="006727F9"/>
    <w:rsid w:val="00675F75"/>
    <w:rsid w:val="006828ED"/>
    <w:rsid w:val="00696573"/>
    <w:rsid w:val="006A3D2D"/>
    <w:rsid w:val="006B23E4"/>
    <w:rsid w:val="006C0830"/>
    <w:rsid w:val="006F1F47"/>
    <w:rsid w:val="00703774"/>
    <w:rsid w:val="007176BC"/>
    <w:rsid w:val="007222A7"/>
    <w:rsid w:val="0072530C"/>
    <w:rsid w:val="00726AF6"/>
    <w:rsid w:val="0073298E"/>
    <w:rsid w:val="007353B3"/>
    <w:rsid w:val="007404B7"/>
    <w:rsid w:val="00743769"/>
    <w:rsid w:val="007517A4"/>
    <w:rsid w:val="0076175D"/>
    <w:rsid w:val="007700FE"/>
    <w:rsid w:val="0077047A"/>
    <w:rsid w:val="00775A73"/>
    <w:rsid w:val="00787FD2"/>
    <w:rsid w:val="00790E14"/>
    <w:rsid w:val="007B40C5"/>
    <w:rsid w:val="007C15BC"/>
    <w:rsid w:val="007C5AED"/>
    <w:rsid w:val="007E4678"/>
    <w:rsid w:val="007F59FE"/>
    <w:rsid w:val="00803C3C"/>
    <w:rsid w:val="00813822"/>
    <w:rsid w:val="00814820"/>
    <w:rsid w:val="00822D0D"/>
    <w:rsid w:val="008369F7"/>
    <w:rsid w:val="008466B9"/>
    <w:rsid w:val="00852FEE"/>
    <w:rsid w:val="00853802"/>
    <w:rsid w:val="00867BE6"/>
    <w:rsid w:val="00885CE7"/>
    <w:rsid w:val="008A7CD3"/>
    <w:rsid w:val="008A7E95"/>
    <w:rsid w:val="008B0917"/>
    <w:rsid w:val="008D370A"/>
    <w:rsid w:val="008E0C26"/>
    <w:rsid w:val="008E6605"/>
    <w:rsid w:val="008E78C6"/>
    <w:rsid w:val="008F264B"/>
    <w:rsid w:val="00905562"/>
    <w:rsid w:val="0091676E"/>
    <w:rsid w:val="009477A3"/>
    <w:rsid w:val="00951A0E"/>
    <w:rsid w:val="009628CA"/>
    <w:rsid w:val="00964DD8"/>
    <w:rsid w:val="00967AC8"/>
    <w:rsid w:val="00972C01"/>
    <w:rsid w:val="00974361"/>
    <w:rsid w:val="00985C7F"/>
    <w:rsid w:val="009A3AE7"/>
    <w:rsid w:val="009B20FC"/>
    <w:rsid w:val="009E5049"/>
    <w:rsid w:val="009F141D"/>
    <w:rsid w:val="00A01D6B"/>
    <w:rsid w:val="00A02103"/>
    <w:rsid w:val="00A15D80"/>
    <w:rsid w:val="00A16B75"/>
    <w:rsid w:val="00A21353"/>
    <w:rsid w:val="00A216AC"/>
    <w:rsid w:val="00A27A5B"/>
    <w:rsid w:val="00A3304B"/>
    <w:rsid w:val="00A44EC0"/>
    <w:rsid w:val="00A90DE7"/>
    <w:rsid w:val="00AB2BC0"/>
    <w:rsid w:val="00AC435E"/>
    <w:rsid w:val="00AE2E32"/>
    <w:rsid w:val="00AF0FD7"/>
    <w:rsid w:val="00AF3924"/>
    <w:rsid w:val="00AF4EA5"/>
    <w:rsid w:val="00AF7322"/>
    <w:rsid w:val="00B03623"/>
    <w:rsid w:val="00B1361D"/>
    <w:rsid w:val="00B23319"/>
    <w:rsid w:val="00B3567F"/>
    <w:rsid w:val="00B519D7"/>
    <w:rsid w:val="00B6638E"/>
    <w:rsid w:val="00B7245B"/>
    <w:rsid w:val="00B8197C"/>
    <w:rsid w:val="00B86B28"/>
    <w:rsid w:val="00B97C47"/>
    <w:rsid w:val="00BA1652"/>
    <w:rsid w:val="00BA61BA"/>
    <w:rsid w:val="00BB4E27"/>
    <w:rsid w:val="00BC4C1D"/>
    <w:rsid w:val="00BC66B4"/>
    <w:rsid w:val="00BC70E3"/>
    <w:rsid w:val="00BD3BAE"/>
    <w:rsid w:val="00C043D1"/>
    <w:rsid w:val="00C108A7"/>
    <w:rsid w:val="00C11A21"/>
    <w:rsid w:val="00C166B2"/>
    <w:rsid w:val="00C167A6"/>
    <w:rsid w:val="00C207C5"/>
    <w:rsid w:val="00C231E3"/>
    <w:rsid w:val="00C2566B"/>
    <w:rsid w:val="00C3268A"/>
    <w:rsid w:val="00C5791C"/>
    <w:rsid w:val="00C57E44"/>
    <w:rsid w:val="00C96384"/>
    <w:rsid w:val="00CA0AE1"/>
    <w:rsid w:val="00CB15F5"/>
    <w:rsid w:val="00CC75EA"/>
    <w:rsid w:val="00CD1F37"/>
    <w:rsid w:val="00CE3B21"/>
    <w:rsid w:val="00D01ADE"/>
    <w:rsid w:val="00D02399"/>
    <w:rsid w:val="00D24397"/>
    <w:rsid w:val="00D57283"/>
    <w:rsid w:val="00D63C8D"/>
    <w:rsid w:val="00D935A2"/>
    <w:rsid w:val="00DA38A0"/>
    <w:rsid w:val="00DA76FF"/>
    <w:rsid w:val="00DB53F9"/>
    <w:rsid w:val="00DC1A5F"/>
    <w:rsid w:val="00DC57DA"/>
    <w:rsid w:val="00DD55D3"/>
    <w:rsid w:val="00DE4836"/>
    <w:rsid w:val="00DE787C"/>
    <w:rsid w:val="00E03FDA"/>
    <w:rsid w:val="00E15435"/>
    <w:rsid w:val="00E2537C"/>
    <w:rsid w:val="00E31350"/>
    <w:rsid w:val="00E93186"/>
    <w:rsid w:val="00E95F92"/>
    <w:rsid w:val="00E976BD"/>
    <w:rsid w:val="00EA42B6"/>
    <w:rsid w:val="00EC3FD9"/>
    <w:rsid w:val="00F00CFF"/>
    <w:rsid w:val="00F049F7"/>
    <w:rsid w:val="00F12CB1"/>
    <w:rsid w:val="00F140EB"/>
    <w:rsid w:val="00F15AB5"/>
    <w:rsid w:val="00F22254"/>
    <w:rsid w:val="00F2326C"/>
    <w:rsid w:val="00F24897"/>
    <w:rsid w:val="00F24EE2"/>
    <w:rsid w:val="00F254C2"/>
    <w:rsid w:val="00F57233"/>
    <w:rsid w:val="00F621BA"/>
    <w:rsid w:val="00F72668"/>
    <w:rsid w:val="00F91176"/>
    <w:rsid w:val="00F91FE5"/>
    <w:rsid w:val="00F9254E"/>
    <w:rsid w:val="00F95884"/>
    <w:rsid w:val="00FC1280"/>
    <w:rsid w:val="00FE313A"/>
    <w:rsid w:val="00FF50C7"/>
    <w:rsid w:val="03DE1E2B"/>
    <w:rsid w:val="0C3663B1"/>
    <w:rsid w:val="0CEA57BC"/>
    <w:rsid w:val="0D8E6204"/>
    <w:rsid w:val="12666F58"/>
    <w:rsid w:val="18F5CBBD"/>
    <w:rsid w:val="19ED724A"/>
    <w:rsid w:val="1A50A032"/>
    <w:rsid w:val="1D1BD7F8"/>
    <w:rsid w:val="1EEC7AFE"/>
    <w:rsid w:val="1FA2BAA8"/>
    <w:rsid w:val="2254D3B3"/>
    <w:rsid w:val="2367481D"/>
    <w:rsid w:val="24BE186C"/>
    <w:rsid w:val="28EBB575"/>
    <w:rsid w:val="29505BB1"/>
    <w:rsid w:val="2CD76BE2"/>
    <w:rsid w:val="30C276B9"/>
    <w:rsid w:val="354F349E"/>
    <w:rsid w:val="35F5419B"/>
    <w:rsid w:val="38D45F16"/>
    <w:rsid w:val="3A1229D3"/>
    <w:rsid w:val="3B353D16"/>
    <w:rsid w:val="3DA5E481"/>
    <w:rsid w:val="3E03D6D7"/>
    <w:rsid w:val="4010593B"/>
    <w:rsid w:val="43ADB31A"/>
    <w:rsid w:val="49B9EF72"/>
    <w:rsid w:val="4A9E4707"/>
    <w:rsid w:val="4B4A8136"/>
    <w:rsid w:val="5025DB38"/>
    <w:rsid w:val="51B24CD7"/>
    <w:rsid w:val="54F468B8"/>
    <w:rsid w:val="55E8047F"/>
    <w:rsid w:val="60C4C52C"/>
    <w:rsid w:val="65B3CA5F"/>
    <w:rsid w:val="69869B49"/>
    <w:rsid w:val="6C5AEB02"/>
    <w:rsid w:val="6FF788D7"/>
    <w:rsid w:val="70FE3B4D"/>
    <w:rsid w:val="710E9885"/>
    <w:rsid w:val="716247BA"/>
    <w:rsid w:val="730FECF5"/>
    <w:rsid w:val="78CDB8A1"/>
    <w:rsid w:val="7B578FF5"/>
    <w:rsid w:val="7CB2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3FFB685"/>
  <w15:docId w15:val="{A5C2FBCD-96E7-43DC-8A29-885405FF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C66B4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C66B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323"/>
  </w:style>
  <w:style w:type="paragraph" w:styleId="Footer">
    <w:name w:val="footer"/>
    <w:basedOn w:val="Normal"/>
    <w:link w:val="Foot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323"/>
  </w:style>
  <w:style w:type="paragraph" w:customStyle="1" w:styleId="Default">
    <w:name w:val="Default"/>
    <w:rsid w:val="003C4249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E09BE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0">
    <w:name w:val="TableGrid"/>
    <w:rsid w:val="00452D9A"/>
    <w:pPr>
      <w:widowControl/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A79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28E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43632"/>
    <w:pPr>
      <w:ind w:left="720"/>
      <w:contextualSpacing/>
    </w:pPr>
  </w:style>
  <w:style w:type="paragraph" w:styleId="Revision">
    <w:name w:val="Revision"/>
    <w:hidden/>
    <w:uiPriority w:val="99"/>
    <w:semiHidden/>
    <w:rsid w:val="00264DCA"/>
    <w:pPr>
      <w:widowControl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3268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025D"/>
    <w:pPr>
      <w:widowControl/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25D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6602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bd75b59-e004-4ff8-9529-f0e5385aaa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8" ma:contentTypeDescription="Create a new document." ma:contentTypeScope="" ma:versionID="0d738cc9b904de357ce9d20d45bfcd90">
  <xsd:schema xmlns:xsd="http://www.w3.org/2001/XMLSchema" xmlns:xs="http://www.w3.org/2001/XMLSchema" xmlns:p="http://schemas.microsoft.com/office/2006/metadata/properties" xmlns:ns1="http://schemas.microsoft.com/sharepoint/v3" xmlns:ns3="fbd75b59-e004-4ff8-9529-f0e5385aaad4" xmlns:ns4="826c830a-bd9a-4134-9ff1-cf35e93d01e9" targetNamespace="http://schemas.microsoft.com/office/2006/metadata/properties" ma:root="true" ma:fieldsID="a8da6514253cd5907b842b6a8b0710d9" ns1:_="" ns3:_="" ns4:_="">
    <xsd:import namespace="http://schemas.microsoft.com/sharepoint/v3"/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6C015-EA10-4758-8D35-4B2D85B7DA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6B7E4-7157-4B64-A5FD-F28B74E211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bd75b59-e004-4ff8-9529-f0e5385aaad4"/>
  </ds:schemaRefs>
</ds:datastoreItem>
</file>

<file path=customXml/itemProps3.xml><?xml version="1.0" encoding="utf-8"?>
<ds:datastoreItem xmlns:ds="http://schemas.openxmlformats.org/officeDocument/2006/customXml" ds:itemID="{938C92A1-1310-4B46-B190-AF525C265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132181-DE60-41A7-8803-EC9F855D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3141</Characters>
  <Application>Microsoft Office Word</Application>
  <DocSecurity>0</DocSecurity>
  <Lines>84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Hurley</dc:creator>
  <cp:keywords/>
  <dc:description/>
  <cp:lastModifiedBy>German, Berlina Y</cp:lastModifiedBy>
  <cp:revision>5</cp:revision>
  <cp:lastPrinted>2020-04-15T20:20:00Z</cp:lastPrinted>
  <dcterms:created xsi:type="dcterms:W3CDTF">2024-04-09T17:54:00Z</dcterms:created>
  <dcterms:modified xsi:type="dcterms:W3CDTF">2024-04-12T18:19:00Z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2013-02-27T00:00:00Z</vt:filetime>
  </property>
  <property fmtid="{D5CDD505-2E9C-101B-9397-08002B2CF9AE}" pid="3" name="LastSaved">
    <vt:filetime>2013-02-28T00:00:00Z</vt:filetime>
  </property>
  <property fmtid="{D5CDD505-2E9C-101B-9397-08002B2CF9AE}" pid="4" name="ContentTypeId">
    <vt:lpwstr>0x010100210CCAAE3D7E2B4BA2C9BEF226C0DFE7</vt:lpwstr>
  </property>
  <property fmtid="{D5CDD505-2E9C-101B-9397-08002B2CF9AE}" pid="5" name="GrammarlyDocumentId">
    <vt:lpwstr>c1524958236eea9f74c06fa97898446c8b8d69fb83a81851bf0f3583550fd3f1</vt:lpwstr>
  </property>
</Properties>
</file>