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32B6F" w14:textId="77777777" w:rsidR="00AF4F46" w:rsidRPr="001A0BBB" w:rsidRDefault="00AF4F46" w:rsidP="00AF4F46">
      <w:pPr>
        <w:jc w:val="center"/>
        <w:rPr>
          <w:b/>
          <w:sz w:val="20"/>
          <w:szCs w:val="20"/>
        </w:rPr>
      </w:pPr>
    </w:p>
    <w:p w14:paraId="53564127" w14:textId="77777777" w:rsidR="001E08C0" w:rsidRPr="00F66795" w:rsidRDefault="001E08C0" w:rsidP="001A0BBB">
      <w:pPr>
        <w:jc w:val="center"/>
        <w:rPr>
          <w:rFonts w:ascii="Calibri" w:hAnsi="Calibri"/>
          <w:b/>
          <w:sz w:val="20"/>
          <w:szCs w:val="20"/>
        </w:rPr>
      </w:pPr>
    </w:p>
    <w:p w14:paraId="2F0E4A83" w14:textId="77777777" w:rsidR="001A0BBB" w:rsidRPr="006545D5" w:rsidRDefault="001A0BBB" w:rsidP="001A0BBB">
      <w:pPr>
        <w:jc w:val="center"/>
        <w:rPr>
          <w:rFonts w:ascii="Calibri" w:hAnsi="Calibri"/>
          <w:b/>
          <w:color w:val="0A2F41" w:themeColor="accent1" w:themeShade="80"/>
        </w:rPr>
      </w:pPr>
      <w:r w:rsidRPr="006545D5">
        <w:rPr>
          <w:rFonts w:ascii="Calibri" w:hAnsi="Calibri"/>
          <w:b/>
          <w:color w:val="0A2F41" w:themeColor="accent1" w:themeShade="80"/>
        </w:rPr>
        <w:t>Job Verification and Grant Closeout Instructions</w:t>
      </w:r>
    </w:p>
    <w:p w14:paraId="524D5928" w14:textId="77777777" w:rsidR="001A0BBB" w:rsidRPr="00B51360" w:rsidRDefault="001A0BBB" w:rsidP="001A0BBB">
      <w:pPr>
        <w:jc w:val="center"/>
        <w:rPr>
          <w:rFonts w:ascii="Calibri" w:hAnsi="Calibri"/>
          <w:b/>
          <w:color w:val="0A2F41" w:themeColor="accent1" w:themeShade="80"/>
          <w:sz w:val="20"/>
          <w:szCs w:val="20"/>
        </w:rPr>
      </w:pPr>
    </w:p>
    <w:p w14:paraId="7C623E00" w14:textId="6DB65BD2" w:rsidR="001A0BBB" w:rsidRPr="00B51360" w:rsidRDefault="001A0BBB" w:rsidP="001A0BBB">
      <w:pPr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Rural </w:t>
      </w:r>
      <w:r w:rsidR="009717A2" w:rsidRPr="00B51360">
        <w:rPr>
          <w:rFonts w:ascii="Calibri" w:hAnsi="Calibri"/>
          <w:color w:val="0A2F41" w:themeColor="accent1" w:themeShade="80"/>
          <w:sz w:val="20"/>
          <w:szCs w:val="20"/>
        </w:rPr>
        <w:t>Engagement</w:t>
      </w:r>
      <w:r w:rsidR="007B22BE"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 &amp; Investment</w:t>
      </w:r>
      <w:r w:rsidR="009717A2"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 Program Grants are a deferred forgivable loan and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 are eligible for forgiveness once the creation and maintenance of the full-time jobs committed for the project, </w:t>
      </w:r>
      <w:proofErr w:type="gramStart"/>
      <w:r w:rsidRPr="00B51360">
        <w:rPr>
          <w:rFonts w:ascii="Calibri" w:hAnsi="Calibri"/>
          <w:color w:val="0A2F41" w:themeColor="accent1" w:themeShade="80"/>
          <w:sz w:val="20"/>
          <w:szCs w:val="20"/>
        </w:rPr>
        <w:t>as well as,</w:t>
      </w:r>
      <w:proofErr w:type="gramEnd"/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 all reporting requirements are approved by Commerce. Below are the requirements and procedure for approval.</w:t>
      </w:r>
    </w:p>
    <w:p w14:paraId="5FF18A79" w14:textId="77777777" w:rsidR="001A0BBB" w:rsidRPr="00B51360" w:rsidRDefault="001A0BBB" w:rsidP="001A0BBB">
      <w:pPr>
        <w:rPr>
          <w:rFonts w:ascii="Calibri" w:hAnsi="Calibri"/>
          <w:color w:val="0A2F41" w:themeColor="accent1" w:themeShade="80"/>
          <w:sz w:val="20"/>
          <w:szCs w:val="20"/>
        </w:rPr>
      </w:pPr>
    </w:p>
    <w:p w14:paraId="505A2331" w14:textId="77777777" w:rsidR="001A0BBB" w:rsidRPr="00B51360" w:rsidRDefault="001A0BBB" w:rsidP="001A0BBB">
      <w:pPr>
        <w:rPr>
          <w:rFonts w:ascii="Calibri" w:hAnsi="Calibri"/>
          <w:b/>
          <w:color w:val="0A2F41" w:themeColor="accent1" w:themeShade="80"/>
          <w:sz w:val="20"/>
          <w:szCs w:val="20"/>
          <w:u w:val="single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  <w:u w:val="single"/>
        </w:rPr>
        <w:t>Job Verification</w:t>
      </w:r>
    </w:p>
    <w:p w14:paraId="2D04E379" w14:textId="77777777" w:rsidR="001A0BBB" w:rsidRPr="00B51360" w:rsidRDefault="001A0BBB" w:rsidP="001A0BBB">
      <w:pPr>
        <w:tabs>
          <w:tab w:val="num" w:pos="450"/>
        </w:tabs>
        <w:spacing w:before="120"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>To be considered eligible, a full-time job must be filled with one employee who works at least 35 hours per week and is paid at least minimum wage. Part-time, full-time equivalents, or contract/consulting positions are not eligible.</w:t>
      </w:r>
    </w:p>
    <w:p w14:paraId="2F97562D" w14:textId="77777777" w:rsidR="001A0BBB" w:rsidRPr="00B51360" w:rsidRDefault="001A0BBB" w:rsidP="001A0BBB">
      <w:pPr>
        <w:tabs>
          <w:tab w:val="num" w:pos="450"/>
        </w:tabs>
        <w:spacing w:before="120" w:after="120"/>
        <w:rPr>
          <w:rFonts w:ascii="Calibri" w:hAnsi="Calibri"/>
          <w:b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</w:rPr>
        <w:t xml:space="preserve">Grantees should submit the following as evidence of job creation and maintenance: </w:t>
      </w:r>
    </w:p>
    <w:p w14:paraId="5BD1BF2F" w14:textId="77777777" w:rsidR="001A0BBB" w:rsidRPr="00B51360" w:rsidRDefault="001A0BBB" w:rsidP="001A0BBB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</w:rPr>
        <w:t>Job Certification Form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>—both the grantee and the participating business are required to complete respective sections of this form that attests to the creation of the number of jobs full-time jobs committed to receive the grant.  The form must be signed by the authorized representatives of the local government grantee and the participating business.</w:t>
      </w:r>
    </w:p>
    <w:p w14:paraId="18A048D1" w14:textId="77777777" w:rsidR="001A0BBB" w:rsidRPr="00B51360" w:rsidRDefault="001A0BBB" w:rsidP="001A0BBB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</w:rPr>
        <w:t>NCUI 101 Forms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—The grantee should submit copies of each company’s </w:t>
      </w:r>
      <w:r w:rsidRPr="00B51360">
        <w:rPr>
          <w:rFonts w:ascii="Calibri" w:hAnsi="Calibri"/>
          <w:i/>
          <w:color w:val="0A2F41" w:themeColor="accent1" w:themeShade="80"/>
          <w:sz w:val="20"/>
          <w:szCs w:val="20"/>
        </w:rPr>
        <w:t>Employer’s Quarterly Tax and Wage Report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 (NCUI 101 forms) that have been submitted to the North Carolina Employment Security Commission according to the requirements below.</w:t>
      </w:r>
    </w:p>
    <w:p w14:paraId="58162C20" w14:textId="77777777" w:rsidR="001A0BBB" w:rsidRPr="00B51360" w:rsidRDefault="001A0BBB" w:rsidP="001A0BBB">
      <w:pPr>
        <w:pStyle w:val="ListParagraph"/>
        <w:numPr>
          <w:ilvl w:val="0"/>
          <w:numId w:val="9"/>
        </w:numPr>
        <w:spacing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The forms must include the appropriate number of quarters to show that the company maintained the required employment level for six-consecutive months. </w:t>
      </w:r>
    </w:p>
    <w:p w14:paraId="65A7BC49" w14:textId="77777777" w:rsidR="001A0BBB" w:rsidRPr="00B51360" w:rsidRDefault="001A0BBB" w:rsidP="001A0BBB">
      <w:pPr>
        <w:pStyle w:val="ListParagraph"/>
        <w:numPr>
          <w:ilvl w:val="0"/>
          <w:numId w:val="9"/>
        </w:numPr>
        <w:spacing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The employment level reported must meet or exceed the baseline number of employees reported at the time of the application plus the number of new, full-time jobs committed for the grant. </w:t>
      </w:r>
    </w:p>
    <w:p w14:paraId="6EEF359A" w14:textId="77777777" w:rsidR="001A0BBB" w:rsidRPr="00B51360" w:rsidRDefault="001A0BBB" w:rsidP="001A0BBB">
      <w:pPr>
        <w:pStyle w:val="ListParagraph"/>
        <w:numPr>
          <w:ilvl w:val="0"/>
          <w:numId w:val="9"/>
        </w:numPr>
        <w:spacing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The jobs created and the baseline must be maintained concurrently during the same six-month period. </w:t>
      </w:r>
    </w:p>
    <w:p w14:paraId="69E8432A" w14:textId="77777777" w:rsidR="001A0BBB" w:rsidRPr="00B51360" w:rsidRDefault="001A0BBB" w:rsidP="001A0BBB">
      <w:pPr>
        <w:pStyle w:val="ListParagraph"/>
        <w:numPr>
          <w:ilvl w:val="0"/>
          <w:numId w:val="9"/>
        </w:numPr>
        <w:spacing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If the NCUI 101 forms include employees from other locations in North Carolina, the names of the employees working in the grant funded project facility should be highlighted, and a multi-site report should be provided. </w:t>
      </w:r>
    </w:p>
    <w:p w14:paraId="0E658398" w14:textId="77777777" w:rsidR="001A0BBB" w:rsidRPr="00B51360" w:rsidRDefault="001A0BBB" w:rsidP="001A0BBB">
      <w:pPr>
        <w:pStyle w:val="ListParagraph"/>
        <w:numPr>
          <w:ilvl w:val="0"/>
          <w:numId w:val="9"/>
        </w:numPr>
        <w:spacing w:after="12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If the NCUI 101 forms include both full and part-time employees an “f” should be written next to the name of each full-time employee and a “p” should be written next to the name of each part-time employee. </w:t>
      </w:r>
    </w:p>
    <w:p w14:paraId="67760FD2" w14:textId="77777777" w:rsidR="001A0BBB" w:rsidRPr="00B51360" w:rsidRDefault="001A0BBB" w:rsidP="001A0BBB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</w:rPr>
        <w:t>Final Report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—the grantee must submit the Final Report Form that describes the activities and outcomes of the project.   </w:t>
      </w:r>
    </w:p>
    <w:p w14:paraId="3749CE92" w14:textId="59739FF2" w:rsidR="001A0BBB" w:rsidRPr="00B51360" w:rsidRDefault="001A0BBB" w:rsidP="001A0BBB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  <w:color w:val="0A2F41" w:themeColor="accent1" w:themeShade="80"/>
          <w:sz w:val="20"/>
          <w:szCs w:val="20"/>
        </w:rPr>
      </w:pPr>
      <w:r w:rsidRPr="00B51360">
        <w:rPr>
          <w:rFonts w:ascii="Calibri" w:hAnsi="Calibri"/>
          <w:b/>
          <w:color w:val="0A2F41" w:themeColor="accent1" w:themeShade="80"/>
          <w:sz w:val="20"/>
          <w:szCs w:val="20"/>
        </w:rPr>
        <w:t>Photos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>—the grante</w:t>
      </w:r>
      <w:r w:rsidR="001E08C0"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e must submit digital photos via e-mail </w:t>
      </w:r>
      <w:r w:rsidR="00665AC2" w:rsidRPr="00B51360">
        <w:rPr>
          <w:rFonts w:ascii="Calibri" w:hAnsi="Calibri"/>
          <w:color w:val="0A2F41" w:themeColor="accent1" w:themeShade="80"/>
          <w:sz w:val="20"/>
          <w:szCs w:val="20"/>
        </w:rPr>
        <w:t xml:space="preserve">in one pdf </w:t>
      </w:r>
      <w:r w:rsidRPr="00B51360">
        <w:rPr>
          <w:rFonts w:ascii="Calibri" w:hAnsi="Calibri"/>
          <w:color w:val="0A2F41" w:themeColor="accent1" w:themeShade="80"/>
          <w:sz w:val="20"/>
          <w:szCs w:val="20"/>
        </w:rPr>
        <w:t>that show a variety of views of the completed project.</w:t>
      </w:r>
    </w:p>
    <w:p w14:paraId="2586845E" w14:textId="77777777" w:rsidR="001A0BBB" w:rsidRPr="00B51360" w:rsidRDefault="001A0BBB" w:rsidP="001A0BBB">
      <w:pPr>
        <w:pStyle w:val="ListParagraph"/>
        <w:spacing w:after="120"/>
        <w:ind w:left="360"/>
        <w:rPr>
          <w:rFonts w:ascii="Calibri" w:hAnsi="Calibri"/>
          <w:color w:val="0A2F41" w:themeColor="accent1" w:themeShade="80"/>
          <w:sz w:val="20"/>
          <w:szCs w:val="20"/>
        </w:rPr>
      </w:pPr>
    </w:p>
    <w:p w14:paraId="3490CF02" w14:textId="58344E89" w:rsidR="006F7AF9" w:rsidRPr="00F66795" w:rsidRDefault="001A0BBB" w:rsidP="001A0BBB">
      <w:pPr>
        <w:pStyle w:val="NoSpacing"/>
        <w:rPr>
          <w:sz w:val="20"/>
          <w:szCs w:val="20"/>
        </w:rPr>
      </w:pPr>
      <w:r w:rsidRPr="00B51360">
        <w:rPr>
          <w:color w:val="0A2F41" w:themeColor="accent1" w:themeShade="80"/>
          <w:sz w:val="20"/>
          <w:szCs w:val="20"/>
        </w:rPr>
        <w:t xml:space="preserve">All </w:t>
      </w:r>
      <w:r w:rsidR="001E08C0" w:rsidRPr="00B51360">
        <w:rPr>
          <w:color w:val="0A2F41" w:themeColor="accent1" w:themeShade="80"/>
          <w:sz w:val="20"/>
          <w:szCs w:val="20"/>
        </w:rPr>
        <w:t>required forms and instructions</w:t>
      </w:r>
      <w:r w:rsidRPr="00B51360">
        <w:rPr>
          <w:color w:val="0A2F41" w:themeColor="accent1" w:themeShade="80"/>
          <w:sz w:val="20"/>
          <w:szCs w:val="20"/>
        </w:rPr>
        <w:t xml:space="preserve">, including reporting and </w:t>
      </w:r>
      <w:r w:rsidR="006F7AF9" w:rsidRPr="00B51360">
        <w:rPr>
          <w:color w:val="0A2F41" w:themeColor="accent1" w:themeShade="80"/>
          <w:sz w:val="20"/>
          <w:szCs w:val="20"/>
        </w:rPr>
        <w:t>payment request</w:t>
      </w:r>
      <w:r w:rsidRPr="00B51360">
        <w:rPr>
          <w:color w:val="0A2F41" w:themeColor="accent1" w:themeShade="80"/>
          <w:sz w:val="20"/>
          <w:szCs w:val="20"/>
        </w:rPr>
        <w:t xml:space="preserve">, can be found on the Commerce website at </w:t>
      </w:r>
      <w:hyperlink r:id="rId10" w:history="1">
        <w:r w:rsidR="00665AC2" w:rsidRPr="00665AC2">
          <w:rPr>
            <w:rStyle w:val="Hyperlink"/>
            <w:sz w:val="20"/>
            <w:szCs w:val="20"/>
          </w:rPr>
          <w:t>Rural Engagement &amp; Investment Programs Website</w:t>
        </w:r>
      </w:hyperlink>
    </w:p>
    <w:p w14:paraId="326256CB" w14:textId="77777777" w:rsidR="006F7AF9" w:rsidRPr="00F66795" w:rsidRDefault="006F7AF9" w:rsidP="001A0BBB">
      <w:pPr>
        <w:pStyle w:val="NoSpacing"/>
        <w:rPr>
          <w:sz w:val="20"/>
          <w:szCs w:val="20"/>
        </w:rPr>
      </w:pPr>
    </w:p>
    <w:p w14:paraId="01A88623" w14:textId="7CF27A97" w:rsidR="001A0BBB" w:rsidRPr="00F66795" w:rsidRDefault="001A0BBB" w:rsidP="001A0BBB">
      <w:pPr>
        <w:pStyle w:val="NoSpacing"/>
        <w:rPr>
          <w:sz w:val="20"/>
          <w:szCs w:val="20"/>
        </w:rPr>
      </w:pPr>
      <w:r w:rsidRPr="00B51360">
        <w:rPr>
          <w:color w:val="0A2F41" w:themeColor="accent1" w:themeShade="80"/>
          <w:sz w:val="20"/>
          <w:szCs w:val="20"/>
        </w:rPr>
        <w:t xml:space="preserve">Email completed forms and reports to </w:t>
      </w:r>
      <w:hyperlink r:id="rId11" w:history="1">
        <w:r w:rsidR="00665AC2" w:rsidRPr="00BE1803">
          <w:rPr>
            <w:rStyle w:val="Hyperlink"/>
            <w:sz w:val="20"/>
            <w:szCs w:val="20"/>
          </w:rPr>
          <w:t>reireports@commerce.nc.gov</w:t>
        </w:r>
      </w:hyperlink>
      <w:r w:rsidRPr="00F66795">
        <w:rPr>
          <w:sz w:val="20"/>
          <w:szCs w:val="20"/>
        </w:rPr>
        <w:t xml:space="preserve"> .</w:t>
      </w:r>
    </w:p>
    <w:p w14:paraId="392E9EC5" w14:textId="77777777" w:rsidR="00413882" w:rsidRPr="001A0BBB" w:rsidRDefault="00413882" w:rsidP="001A0BBB">
      <w:pPr>
        <w:jc w:val="center"/>
        <w:rPr>
          <w:rFonts w:ascii="Palatino Linotype" w:hAnsi="Palatino Linotype"/>
          <w:color w:val="000000"/>
          <w:sz w:val="20"/>
          <w:szCs w:val="20"/>
        </w:rPr>
      </w:pPr>
    </w:p>
    <w:sectPr w:rsidR="00413882" w:rsidRPr="001A0BBB" w:rsidSect="00CA6D53">
      <w:headerReference w:type="default" r:id="rId12"/>
      <w:footerReference w:type="default" r:id="rId13"/>
      <w:pgSz w:w="12240" w:h="15840"/>
      <w:pgMar w:top="1008" w:right="1008" w:bottom="1008" w:left="1008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3A535" w14:textId="77777777" w:rsidR="00F66795" w:rsidRDefault="00F66795" w:rsidP="00F4204C">
      <w:r>
        <w:separator/>
      </w:r>
    </w:p>
  </w:endnote>
  <w:endnote w:type="continuationSeparator" w:id="0">
    <w:p w14:paraId="2CA56366" w14:textId="77777777" w:rsidR="00F66795" w:rsidRDefault="00F66795" w:rsidP="00F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6BDE" w14:textId="17051FC0" w:rsidR="00242E7B" w:rsidRPr="00763AC5" w:rsidRDefault="00413882" w:rsidP="00413882">
    <w:pPr>
      <w:pStyle w:val="Head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Last Updated </w:t>
    </w:r>
    <w:r w:rsidR="008E4972">
      <w:rPr>
        <w:rFonts w:ascii="Century Gothic" w:hAnsi="Century Gothic"/>
        <w:sz w:val="18"/>
        <w:szCs w:val="18"/>
      </w:rPr>
      <w:t>June 2024</w:t>
    </w:r>
  </w:p>
  <w:p w14:paraId="7899D074" w14:textId="77777777" w:rsidR="00242E7B" w:rsidRPr="00F4204C" w:rsidRDefault="00242E7B" w:rsidP="00F42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9AFE3" w14:textId="77777777" w:rsidR="00F66795" w:rsidRDefault="00F66795" w:rsidP="00F4204C">
      <w:r>
        <w:separator/>
      </w:r>
    </w:p>
  </w:footnote>
  <w:footnote w:type="continuationSeparator" w:id="0">
    <w:p w14:paraId="329E1B1D" w14:textId="77777777" w:rsidR="00F66795" w:rsidRDefault="00F66795" w:rsidP="00F4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705"/>
      <w:gridCol w:w="6035"/>
    </w:tblGrid>
    <w:tr w:rsidR="00B51360" w:rsidRPr="00B51360" w14:paraId="025776F5" w14:textId="77777777" w:rsidTr="006545D5">
      <w:trPr>
        <w:trHeight w:val="1907"/>
      </w:trPr>
      <w:tc>
        <w:tcPr>
          <w:tcW w:w="4705" w:type="dxa"/>
          <w:shd w:val="clear" w:color="auto" w:fill="auto"/>
        </w:tcPr>
        <w:p w14:paraId="22C7A182" w14:textId="36E9A5D3" w:rsidR="00467F1A" w:rsidRDefault="00D95883" w:rsidP="001A3C1B">
          <w:pPr>
            <w:pStyle w:val="Header"/>
          </w:pPr>
          <w:r>
            <w:rPr>
              <w:noProof/>
            </w:rPr>
            <w:drawing>
              <wp:inline distT="0" distB="0" distL="0" distR="0" wp14:anchorId="06F06B48" wp14:editId="22872D82">
                <wp:extent cx="2667000" cy="944880"/>
                <wp:effectExtent l="0" t="0" r="0" b="7620"/>
                <wp:docPr id="13105046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shd w:val="clear" w:color="auto" w:fill="auto"/>
        </w:tcPr>
        <w:p w14:paraId="5F8BC1E1" w14:textId="77777777" w:rsidR="004B4BAC" w:rsidRPr="00B51360" w:rsidRDefault="004B4BAC" w:rsidP="001A3C1B">
          <w:pPr>
            <w:pStyle w:val="Header"/>
            <w:rPr>
              <w:rFonts w:ascii="Century Gothic" w:hAnsi="Century Gothic"/>
              <w:b/>
              <w:color w:val="0A2F41" w:themeColor="accent1" w:themeShade="80"/>
              <w:sz w:val="32"/>
              <w:szCs w:val="26"/>
            </w:rPr>
          </w:pPr>
        </w:p>
        <w:p w14:paraId="17A4F223" w14:textId="2054A99A" w:rsidR="00467F1A" w:rsidRPr="006545D5" w:rsidRDefault="00B51360" w:rsidP="001A3C1B">
          <w:pPr>
            <w:pStyle w:val="Header"/>
            <w:rPr>
              <w:rFonts w:ascii="Century Gothic" w:hAnsi="Century Gothic"/>
              <w:b/>
              <w:color w:val="0F4761" w:themeColor="accent1" w:themeShade="BF"/>
              <w:sz w:val="28"/>
              <w:szCs w:val="28"/>
            </w:rPr>
          </w:pPr>
          <w:r w:rsidRPr="006545D5">
            <w:rPr>
              <w:rFonts w:ascii="Century Gothic" w:hAnsi="Century Gothic"/>
              <w:b/>
              <w:color w:val="0F4761" w:themeColor="accent1" w:themeShade="BF"/>
              <w:sz w:val="28"/>
              <w:szCs w:val="28"/>
            </w:rPr>
            <w:t>Rural Engagement &amp; Investment Programs</w:t>
          </w:r>
        </w:p>
        <w:p w14:paraId="47EBE981" w14:textId="77777777" w:rsidR="006545D5" w:rsidRDefault="006545D5" w:rsidP="00B51360">
          <w:pPr>
            <w:pStyle w:val="Header"/>
            <w:jc w:val="center"/>
            <w:rPr>
              <w:rFonts w:ascii="Century Gothic" w:hAnsi="Century Gothic"/>
              <w:b/>
              <w:color w:val="0F4761" w:themeColor="accent1" w:themeShade="BF"/>
            </w:rPr>
          </w:pPr>
        </w:p>
        <w:p w14:paraId="2DE9EDE0" w14:textId="7067C1B7" w:rsidR="00467F1A" w:rsidRPr="00B51360" w:rsidRDefault="006545D5" w:rsidP="006545D5">
          <w:pPr>
            <w:pStyle w:val="Header"/>
            <w:rPr>
              <w:rFonts w:ascii="Century Gothic" w:hAnsi="Century Gothic"/>
              <w:b/>
              <w:color w:val="0A2F41" w:themeColor="accent1" w:themeShade="80"/>
            </w:rPr>
          </w:pPr>
          <w:r>
            <w:rPr>
              <w:rFonts w:ascii="Century Gothic" w:hAnsi="Century Gothic"/>
              <w:b/>
              <w:color w:val="0F4761" w:themeColor="accent1" w:themeShade="BF"/>
            </w:rPr>
            <w:t xml:space="preserve">   </w:t>
          </w:r>
          <w:r w:rsidR="00B51360" w:rsidRPr="00B51360">
            <w:rPr>
              <w:rFonts w:ascii="Century Gothic" w:hAnsi="Century Gothic"/>
              <w:b/>
              <w:color w:val="0F4761" w:themeColor="accent1" w:themeShade="BF"/>
            </w:rPr>
            <w:t>Job Verification &amp; Grant Closeout Instructions</w:t>
          </w:r>
        </w:p>
      </w:tc>
    </w:tr>
  </w:tbl>
  <w:p w14:paraId="707B3A8A" w14:textId="77777777" w:rsidR="00467F1A" w:rsidRPr="001220E7" w:rsidRDefault="00467F1A" w:rsidP="00467F1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193B"/>
    <w:multiLevelType w:val="hybridMultilevel"/>
    <w:tmpl w:val="C68EAB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DC607C"/>
    <w:multiLevelType w:val="hybridMultilevel"/>
    <w:tmpl w:val="85104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9324C"/>
    <w:multiLevelType w:val="hybridMultilevel"/>
    <w:tmpl w:val="9A0C59A0"/>
    <w:lvl w:ilvl="0" w:tplc="9732D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87FBF"/>
    <w:multiLevelType w:val="hybridMultilevel"/>
    <w:tmpl w:val="20803BD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AEB2F62"/>
    <w:multiLevelType w:val="hybridMultilevel"/>
    <w:tmpl w:val="E8D609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3EBD"/>
    <w:multiLevelType w:val="hybridMultilevel"/>
    <w:tmpl w:val="8A6E0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D1021"/>
    <w:multiLevelType w:val="hybridMultilevel"/>
    <w:tmpl w:val="C2C21F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C4DEC"/>
    <w:multiLevelType w:val="multilevel"/>
    <w:tmpl w:val="E8D609F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2781A"/>
    <w:multiLevelType w:val="hybridMultilevel"/>
    <w:tmpl w:val="43AA6662"/>
    <w:lvl w:ilvl="0" w:tplc="9CEEFA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264930">
    <w:abstractNumId w:val="6"/>
  </w:num>
  <w:num w:numId="2" w16cid:durableId="1569727814">
    <w:abstractNumId w:val="4"/>
  </w:num>
  <w:num w:numId="3" w16cid:durableId="956717795">
    <w:abstractNumId w:val="7"/>
  </w:num>
  <w:num w:numId="4" w16cid:durableId="1849982548">
    <w:abstractNumId w:val="0"/>
  </w:num>
  <w:num w:numId="5" w16cid:durableId="622417623">
    <w:abstractNumId w:val="5"/>
  </w:num>
  <w:num w:numId="6" w16cid:durableId="1018233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506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828840">
    <w:abstractNumId w:val="2"/>
  </w:num>
  <w:num w:numId="9" w16cid:durableId="1120799188">
    <w:abstractNumId w:val="1"/>
  </w:num>
  <w:num w:numId="10" w16cid:durableId="707293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02"/>
    <w:rsid w:val="000A1F57"/>
    <w:rsid w:val="000B64F1"/>
    <w:rsid w:val="000C0AB4"/>
    <w:rsid w:val="001220E7"/>
    <w:rsid w:val="001648CD"/>
    <w:rsid w:val="00193273"/>
    <w:rsid w:val="001A0BBB"/>
    <w:rsid w:val="001A3C1B"/>
    <w:rsid w:val="001B20B9"/>
    <w:rsid w:val="001C62EC"/>
    <w:rsid w:val="001E08C0"/>
    <w:rsid w:val="001E5F4D"/>
    <w:rsid w:val="00200AE0"/>
    <w:rsid w:val="00214E88"/>
    <w:rsid w:val="00242E7B"/>
    <w:rsid w:val="00292E99"/>
    <w:rsid w:val="002F276F"/>
    <w:rsid w:val="003D58D5"/>
    <w:rsid w:val="00413882"/>
    <w:rsid w:val="00416CEA"/>
    <w:rsid w:val="00417175"/>
    <w:rsid w:val="00465367"/>
    <w:rsid w:val="00467F1A"/>
    <w:rsid w:val="00467F8E"/>
    <w:rsid w:val="00482C06"/>
    <w:rsid w:val="00492602"/>
    <w:rsid w:val="004B4BAC"/>
    <w:rsid w:val="004C2B24"/>
    <w:rsid w:val="004F11D2"/>
    <w:rsid w:val="004F2EEB"/>
    <w:rsid w:val="005042FC"/>
    <w:rsid w:val="00553066"/>
    <w:rsid w:val="005876DB"/>
    <w:rsid w:val="00587B88"/>
    <w:rsid w:val="005A5FA7"/>
    <w:rsid w:val="005D4330"/>
    <w:rsid w:val="005E3800"/>
    <w:rsid w:val="00631627"/>
    <w:rsid w:val="006545D5"/>
    <w:rsid w:val="00665AC2"/>
    <w:rsid w:val="006E2E1B"/>
    <w:rsid w:val="006E7455"/>
    <w:rsid w:val="006F7AF9"/>
    <w:rsid w:val="00725F72"/>
    <w:rsid w:val="007362F5"/>
    <w:rsid w:val="00761857"/>
    <w:rsid w:val="0078375E"/>
    <w:rsid w:val="007B22BE"/>
    <w:rsid w:val="007C0C04"/>
    <w:rsid w:val="007D5B44"/>
    <w:rsid w:val="007E4CDD"/>
    <w:rsid w:val="007F22DE"/>
    <w:rsid w:val="00822375"/>
    <w:rsid w:val="0086174B"/>
    <w:rsid w:val="008677B8"/>
    <w:rsid w:val="00895B2B"/>
    <w:rsid w:val="008B7293"/>
    <w:rsid w:val="008C392F"/>
    <w:rsid w:val="008C4771"/>
    <w:rsid w:val="008D388A"/>
    <w:rsid w:val="008E4972"/>
    <w:rsid w:val="009041CA"/>
    <w:rsid w:val="0091178F"/>
    <w:rsid w:val="00930DE8"/>
    <w:rsid w:val="00931615"/>
    <w:rsid w:val="0093437A"/>
    <w:rsid w:val="009430DF"/>
    <w:rsid w:val="009717A2"/>
    <w:rsid w:val="00A4284F"/>
    <w:rsid w:val="00A51CF4"/>
    <w:rsid w:val="00A7629D"/>
    <w:rsid w:val="00AA6462"/>
    <w:rsid w:val="00AE61B4"/>
    <w:rsid w:val="00AF4F46"/>
    <w:rsid w:val="00B33963"/>
    <w:rsid w:val="00B51360"/>
    <w:rsid w:val="00B72FDB"/>
    <w:rsid w:val="00BB566D"/>
    <w:rsid w:val="00C34331"/>
    <w:rsid w:val="00C80975"/>
    <w:rsid w:val="00C80BCE"/>
    <w:rsid w:val="00CA6D53"/>
    <w:rsid w:val="00D925A4"/>
    <w:rsid w:val="00D95883"/>
    <w:rsid w:val="00DE4568"/>
    <w:rsid w:val="00E83838"/>
    <w:rsid w:val="00E947E3"/>
    <w:rsid w:val="00EB5D5E"/>
    <w:rsid w:val="00EE05A4"/>
    <w:rsid w:val="00F05D8C"/>
    <w:rsid w:val="00F4204C"/>
    <w:rsid w:val="00F66795"/>
    <w:rsid w:val="00F7316D"/>
    <w:rsid w:val="00F80B0E"/>
    <w:rsid w:val="00F87D6E"/>
    <w:rsid w:val="00F93132"/>
    <w:rsid w:val="00FC53D0"/>
    <w:rsid w:val="00FE3B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D659E0"/>
  <w15:chartTrackingRefBased/>
  <w15:docId w15:val="{CA3A522D-AB81-4C24-94FA-A6E259BE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2602"/>
    <w:rPr>
      <w:rFonts w:ascii="Tahoma" w:hAnsi="Tahoma" w:cs="Tahoma"/>
      <w:sz w:val="16"/>
      <w:szCs w:val="16"/>
    </w:rPr>
  </w:style>
  <w:style w:type="character" w:styleId="Hyperlink">
    <w:name w:val="Hyperlink"/>
    <w:rsid w:val="00CD0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4330"/>
    <w:pPr>
      <w:ind w:left="720"/>
    </w:pPr>
  </w:style>
  <w:style w:type="paragraph" w:styleId="Header">
    <w:name w:val="header"/>
    <w:basedOn w:val="Normal"/>
    <w:link w:val="HeaderChar"/>
    <w:uiPriority w:val="99"/>
    <w:rsid w:val="00F420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204C"/>
    <w:rPr>
      <w:sz w:val="24"/>
      <w:szCs w:val="24"/>
    </w:rPr>
  </w:style>
  <w:style w:type="paragraph" w:styleId="Footer">
    <w:name w:val="footer"/>
    <w:basedOn w:val="Normal"/>
    <w:link w:val="FooterChar"/>
    <w:rsid w:val="00F420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204C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A4284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ireports@commerce.nc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mmerce.nc.gov/about-us/divisions-programs/rural-economic-development-division/rural-grant-progr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BE45.FD77AA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270f38-e6b2-4c6a-a0f1-56965b2848d3">
      <Terms xmlns="http://schemas.microsoft.com/office/infopath/2007/PartnerControls"/>
    </lcf76f155ced4ddcb4097134ff3c332f>
    <TaxCatchAll xmlns="42dc7104-cf23-4c8d-80e3-6fad0bfaa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01B98A75284095413D0B5D000C39" ma:contentTypeVersion="18" ma:contentTypeDescription="Create a new document." ma:contentTypeScope="" ma:versionID="102aede04461137bd40ff013bbaf7a29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cd270f38-e6b2-4c6a-a0f1-56965b2848d3" targetNamespace="http://schemas.microsoft.com/office/2006/metadata/properties" ma:root="true" ma:fieldsID="d0f9f6a5ce6941920c8f97cbec06db9e" ns1:_="" ns2:_="" ns3:_="">
    <xsd:import namespace="http://schemas.microsoft.com/sharepoint/v3"/>
    <xsd:import namespace="42dc7104-cf23-4c8d-80e3-6fad0bfaa29b"/>
    <xsd:import namespace="cd270f38-e6b2-4c6a-a0f1-56965b284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0f38-e6b2-4c6a-a0f1-56965b28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53937-884D-4C19-97FC-3CBB24881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270f38-e6b2-4c6a-a0f1-56965b2848d3"/>
    <ds:schemaRef ds:uri="42dc7104-cf23-4c8d-80e3-6fad0bfaa29b"/>
  </ds:schemaRefs>
</ds:datastoreItem>
</file>

<file path=customXml/itemProps2.xml><?xml version="1.0" encoding="utf-8"?>
<ds:datastoreItem xmlns:ds="http://schemas.openxmlformats.org/officeDocument/2006/customXml" ds:itemID="{61E726EA-4790-4C30-852F-266333179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48593-569D-407B-96B0-F25843064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cd270f38-e6b2-4c6a-a0f1-56965b28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Reuse and Restoration</vt:lpstr>
    </vt:vector>
  </TitlesOfParts>
  <Company>NC Rural Center</Company>
  <LinksUpToDate>false</LinksUpToDate>
  <CharactersWithSpaces>2806</CharactersWithSpaces>
  <SharedDoc>false</SharedDoc>
  <HLinks>
    <vt:vector size="12" baseType="variant">
      <vt:variant>
        <vt:i4>2490377</vt:i4>
      </vt:variant>
      <vt:variant>
        <vt:i4>3</vt:i4>
      </vt:variant>
      <vt:variant>
        <vt:i4>0</vt:i4>
      </vt:variant>
      <vt:variant>
        <vt:i4>5</vt:i4>
      </vt:variant>
      <vt:variant>
        <vt:lpwstr>mailto:rgpreports@nccommerce.com</vt:lpwstr>
      </vt:variant>
      <vt:variant>
        <vt:lpwstr/>
      </vt:variant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http://www.nccommerce.com/rd/rural-grants-programs/forms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Reuse and Restoration</dc:title>
  <dc:subject/>
  <dc:creator>hedmond</dc:creator>
  <cp:keywords/>
  <cp:lastModifiedBy>Edmond, Hazel S</cp:lastModifiedBy>
  <cp:revision>9</cp:revision>
  <cp:lastPrinted>2012-10-08T14:58:00Z</cp:lastPrinted>
  <dcterms:created xsi:type="dcterms:W3CDTF">2024-06-14T15:11:00Z</dcterms:created>
  <dcterms:modified xsi:type="dcterms:W3CDTF">2024-06-14T15:36:00Z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0x0101009A8501B98A75284095413D0B5D000C39</vt:lpwstr>
  </property>
  <property fmtid="{D5CDD505-2E9C-101B-9397-08002B2CF9AE}" pid="3" name="MediaServiceImageTags">
    <vt:lpwstr/>
  </property>
</Properties>
</file>