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1064B" w14:textId="557F0DB8" w:rsidR="00115F70" w:rsidRDefault="006A38F9">
      <w:pPr>
        <w:spacing w:before="9" w:after="0" w:line="80" w:lineRule="exact"/>
        <w:rPr>
          <w:sz w:val="8"/>
          <w:szCs w:val="8"/>
        </w:rPr>
      </w:pPr>
      <w:bookmarkStart w:id="0" w:name="_GoBack"/>
      <w:bookmarkEnd w:id="0"/>
      <w:r>
        <w:rPr>
          <w:sz w:val="8"/>
          <w:szCs w:val="8"/>
        </w:rPr>
        <w:tab/>
      </w:r>
    </w:p>
    <w:tbl>
      <w:tblPr>
        <w:tblW w:w="1080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9"/>
        <w:gridCol w:w="7451"/>
      </w:tblGrid>
      <w:tr w:rsidR="00115F70" w14:paraId="14AD36B7" w14:textId="77777777" w:rsidTr="00806244">
        <w:trPr>
          <w:trHeight w:hRule="exact" w:val="931"/>
          <w:jc w:val="center"/>
        </w:trPr>
        <w:tc>
          <w:tcPr>
            <w:tcW w:w="3058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308B58A5" w14:textId="77777777" w:rsidR="00115F70" w:rsidRDefault="00115F70">
            <w:pPr>
              <w:spacing w:after="0" w:line="200" w:lineRule="exact"/>
              <w:rPr>
                <w:sz w:val="20"/>
                <w:szCs w:val="20"/>
              </w:rPr>
            </w:pPr>
          </w:p>
          <w:p w14:paraId="6CD46CE8" w14:textId="77777777" w:rsidR="00115F70" w:rsidRDefault="00115F70">
            <w:pPr>
              <w:spacing w:before="10" w:after="0" w:line="200" w:lineRule="exact"/>
              <w:rPr>
                <w:sz w:val="20"/>
                <w:szCs w:val="20"/>
              </w:rPr>
            </w:pPr>
          </w:p>
          <w:p w14:paraId="2C62FE9D" w14:textId="77777777" w:rsidR="00115F70" w:rsidRDefault="00115F70">
            <w:pPr>
              <w:spacing w:after="0" w:line="240" w:lineRule="auto"/>
              <w:ind w:left="42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CCE8A19" w14:textId="77777777" w:rsidR="00115F70" w:rsidRDefault="003D4C6F">
            <w:pPr>
              <w:spacing w:after="0" w:line="200" w:lineRule="exac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596AEA3" wp14:editId="20B67111">
                  <wp:simplePos x="0" y="0"/>
                  <wp:positionH relativeFrom="column">
                    <wp:posOffset>265430</wp:posOffset>
                  </wp:positionH>
                  <wp:positionV relativeFrom="paragraph">
                    <wp:posOffset>72390</wp:posOffset>
                  </wp:positionV>
                  <wp:extent cx="1399540" cy="1375410"/>
                  <wp:effectExtent l="0" t="0" r="0" b="0"/>
                  <wp:wrapTight wrapText="bothSides">
                    <wp:wrapPolygon edited="0">
                      <wp:start x="0" y="0"/>
                      <wp:lineTo x="0" y="21241"/>
                      <wp:lineTo x="21169" y="21241"/>
                      <wp:lineTo x="21169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9540" cy="137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94E2B5" w14:textId="77777777" w:rsidR="00115F70" w:rsidRDefault="00115F70">
            <w:pPr>
              <w:spacing w:before="16" w:after="0" w:line="200" w:lineRule="exact"/>
              <w:rPr>
                <w:sz w:val="20"/>
                <w:szCs w:val="20"/>
              </w:rPr>
            </w:pPr>
          </w:p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CA1CE2" w14:textId="77777777" w:rsidR="00115F70" w:rsidRPr="00A90DE7" w:rsidRDefault="00115F70">
            <w:pPr>
              <w:spacing w:before="5" w:after="0" w:line="110" w:lineRule="exact"/>
            </w:pPr>
          </w:p>
          <w:p w14:paraId="517871A9" w14:textId="12D67403" w:rsidR="00115F70" w:rsidRPr="00101C5D" w:rsidRDefault="00C90432" w:rsidP="008062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  <w:t>NCWorks Commission</w:t>
            </w:r>
          </w:p>
        </w:tc>
      </w:tr>
      <w:tr w:rsidR="00115F70" w14:paraId="2F94CE84" w14:textId="77777777" w:rsidTr="00D53487">
        <w:trPr>
          <w:trHeight w:hRule="exact" w:val="548"/>
          <w:jc w:val="center"/>
        </w:trPr>
        <w:tc>
          <w:tcPr>
            <w:tcW w:w="3058" w:type="dxa"/>
            <w:vMerge/>
            <w:tcBorders>
              <w:left w:val="single" w:sz="18" w:space="0" w:color="000000"/>
            </w:tcBorders>
          </w:tcPr>
          <w:p w14:paraId="5418D303" w14:textId="77777777" w:rsidR="00115F70" w:rsidRDefault="00115F70"/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63ED56" w14:textId="6485245F" w:rsidR="00115F70" w:rsidRPr="00094FB5" w:rsidRDefault="00EA75FF" w:rsidP="008E78C6">
            <w:pPr>
              <w:spacing w:before="13" w:after="0" w:line="240" w:lineRule="auto"/>
              <w:ind w:left="93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NCWorks Commission</w:t>
            </w:r>
            <w:r w:rsidR="00C108A7"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C5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Policy Statement Number</w:t>
            </w:r>
            <w:r w:rsidR="008E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C904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8E78C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4A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 </w:t>
            </w:r>
            <w:r w:rsidR="00CC36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D85D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-202</w:t>
            </w:r>
            <w:r w:rsidR="004134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115F70" w14:paraId="7E4B2CE4" w14:textId="77777777" w:rsidTr="00D53487">
        <w:trPr>
          <w:trHeight w:hRule="exact" w:val="611"/>
          <w:jc w:val="center"/>
        </w:trPr>
        <w:tc>
          <w:tcPr>
            <w:tcW w:w="3058" w:type="dxa"/>
            <w:vMerge/>
            <w:tcBorders>
              <w:left w:val="single" w:sz="18" w:space="0" w:color="000000"/>
            </w:tcBorders>
          </w:tcPr>
          <w:p w14:paraId="7AC3625C" w14:textId="77777777" w:rsidR="00115F70" w:rsidRDefault="00115F70"/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A15D68" w14:textId="43A80A18" w:rsidR="00115F70" w:rsidRDefault="00F9254E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  <w:r w:rsidRPr="00094F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D</w:t>
            </w:r>
            <w:r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Pr="00094FB5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t</w:t>
            </w:r>
            <w:r w:rsidRPr="00094FB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e:</w:t>
            </w:r>
            <w:r w:rsidRPr="00094FB5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  <w:r w:rsidR="00D2561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 xml:space="preserve">February </w:t>
            </w:r>
            <w:r w:rsidR="00DB06A3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8</w:t>
            </w:r>
            <w:r w:rsidR="00051D44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, 202</w:t>
            </w:r>
            <w:r w:rsidR="00413437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  <w:t>3</w:t>
            </w:r>
          </w:p>
          <w:p w14:paraId="46C51039" w14:textId="77777777" w:rsidR="00A13621" w:rsidRDefault="00A13621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1AC8599A" w14:textId="77777777" w:rsidR="00D25617" w:rsidRPr="00094FB5" w:rsidRDefault="00D25617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</w:rPr>
            </w:pPr>
          </w:p>
          <w:p w14:paraId="2D892D88" w14:textId="77777777" w:rsidR="00221323" w:rsidRPr="00A90DE7" w:rsidRDefault="00221323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bCs/>
                <w:spacing w:val="-1"/>
              </w:rPr>
            </w:pPr>
          </w:p>
          <w:p w14:paraId="02A49094" w14:textId="77777777" w:rsidR="00221323" w:rsidRPr="00A90DE7" w:rsidRDefault="00221323" w:rsidP="00221323">
            <w:pPr>
              <w:spacing w:before="50" w:after="0" w:line="240" w:lineRule="auto"/>
              <w:ind w:left="93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115F70" w14:paraId="3F8E0F63" w14:textId="77777777" w:rsidTr="00D53487">
        <w:trPr>
          <w:trHeight w:hRule="exact" w:val="864"/>
          <w:jc w:val="center"/>
        </w:trPr>
        <w:tc>
          <w:tcPr>
            <w:tcW w:w="3058" w:type="dxa"/>
            <w:vMerge/>
            <w:tcBorders>
              <w:left w:val="single" w:sz="18" w:space="0" w:color="000000"/>
            </w:tcBorders>
          </w:tcPr>
          <w:p w14:paraId="250630B3" w14:textId="77777777" w:rsidR="00115F70" w:rsidRDefault="00115F70"/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TableGrid"/>
              <w:tblW w:w="692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86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101"/>
              <w:gridCol w:w="5821"/>
            </w:tblGrid>
            <w:tr w:rsidR="009C2085" w14:paraId="21256C06" w14:textId="77777777" w:rsidTr="009C2085">
              <w:tc>
                <w:tcPr>
                  <w:tcW w:w="1101" w:type="dxa"/>
                </w:tcPr>
                <w:p w14:paraId="78108C24" w14:textId="03862095" w:rsidR="009C2085" w:rsidRPr="009C2085" w:rsidRDefault="009C2085" w:rsidP="00B67442">
                  <w:pPr>
                    <w:spacing w:before="53"/>
                    <w:ind w:right="-2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Sub</w:t>
                  </w: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j</w:t>
                  </w: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</w:t>
                  </w: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pacing w:val="-2"/>
                      <w:sz w:val="24"/>
                      <w:szCs w:val="24"/>
                    </w:rPr>
                    <w:t>c</w:t>
                  </w: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pacing w:val="1"/>
                      <w:sz w:val="24"/>
                      <w:szCs w:val="24"/>
                    </w:rPr>
                    <w:t>t</w:t>
                  </w:r>
                  <w:r w:rsidRPr="00094FB5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5821" w:type="dxa"/>
                </w:tcPr>
                <w:p w14:paraId="7816E393" w14:textId="31968F9F" w:rsidR="009C2085" w:rsidRPr="009C2085" w:rsidRDefault="009C2085" w:rsidP="00B67442">
                  <w:pPr>
                    <w:spacing w:before="53"/>
                    <w:ind w:right="-20"/>
                    <w:rPr>
                      <w:rFonts w:ascii="Times New Roman" w:eastAsia="Times New Roman" w:hAnsi="Times New Roman" w:cs="Times New Roman"/>
                      <w:b/>
                    </w:rPr>
                  </w:pPr>
                  <w:r w:rsidRPr="009C2085">
                    <w:rPr>
                      <w:rFonts w:ascii="Times New Roman" w:eastAsia="Times New Roman" w:hAnsi="Times New Roman" w:cs="Times New Roman"/>
                      <w:b/>
                    </w:rPr>
                    <w:t>Updates to Local and Regional Area Plan Instructions for Program Year (PY) 2023</w:t>
                  </w:r>
                </w:p>
              </w:tc>
            </w:tr>
          </w:tbl>
          <w:p w14:paraId="4E62CE38" w14:textId="0B66EAE7" w:rsidR="003C4249" w:rsidRPr="00363921" w:rsidRDefault="003C4249" w:rsidP="00B67442">
            <w:pPr>
              <w:spacing w:before="53" w:after="0" w:line="240" w:lineRule="auto"/>
              <w:ind w:left="93" w:right="-20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043D1" w14:paraId="13CBF934" w14:textId="77777777" w:rsidTr="00D53487">
        <w:trPr>
          <w:trHeight w:hRule="exact" w:val="1628"/>
          <w:jc w:val="center"/>
        </w:trPr>
        <w:tc>
          <w:tcPr>
            <w:tcW w:w="3058" w:type="dxa"/>
            <w:vMerge/>
            <w:tcBorders>
              <w:left w:val="single" w:sz="18" w:space="0" w:color="000000"/>
              <w:bottom w:val="single" w:sz="18" w:space="0" w:color="000000"/>
            </w:tcBorders>
          </w:tcPr>
          <w:p w14:paraId="47F12906" w14:textId="77777777" w:rsidR="00C043D1" w:rsidRDefault="00C043D1"/>
        </w:tc>
        <w:tc>
          <w:tcPr>
            <w:tcW w:w="68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BF9FC7" w14:textId="5476D831" w:rsidR="00DE4836" w:rsidRPr="00094FB5" w:rsidRDefault="00C043D1" w:rsidP="00DE4836">
            <w:pPr>
              <w:tabs>
                <w:tab w:val="left" w:pos="4307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043D1">
              <w:rPr>
                <w:noProof/>
              </w:rPr>
              <w:t xml:space="preserve">  </w:t>
            </w:r>
            <w:r w:rsidRPr="0CCA7FDD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From</w:t>
            </w:r>
            <w:r w:rsidRPr="00094FB5">
              <w:rPr>
                <w:rFonts w:ascii="Times New Roman" w:hAnsi="Times New Roman" w:cs="Times New Roman"/>
                <w:noProof/>
                <w:sz w:val="24"/>
                <w:szCs w:val="24"/>
              </w:rPr>
              <w:t>:</w:t>
            </w:r>
            <w:r w:rsidRPr="00094FB5">
              <w:rPr>
                <w:noProof/>
                <w:sz w:val="24"/>
                <w:szCs w:val="24"/>
              </w:rPr>
              <w:t xml:space="preserve">   </w:t>
            </w:r>
          </w:p>
          <w:p w14:paraId="5C65BAE5" w14:textId="77777777" w:rsidR="00D85D44" w:rsidRDefault="00C043D1" w:rsidP="0001185C">
            <w:pPr>
              <w:tabs>
                <w:tab w:val="left" w:pos="4307"/>
              </w:tabs>
              <w:spacing w:after="0" w:line="240" w:lineRule="auto"/>
              <w:rPr>
                <w:noProof/>
              </w:rPr>
            </w:pPr>
            <w:r w:rsidRPr="00C043D1">
              <w:rPr>
                <w:noProof/>
              </w:rPr>
              <w:t xml:space="preserve">  </w:t>
            </w:r>
            <w:r>
              <w:rPr>
                <w:noProof/>
              </w:rPr>
              <w:t xml:space="preserve">     </w:t>
            </w:r>
            <w:r w:rsidR="00D85D44">
              <w:rPr>
                <w:noProof/>
              </w:rPr>
              <w:t xml:space="preserve"> </w:t>
            </w:r>
          </w:p>
          <w:tbl>
            <w:tblPr>
              <w:tblStyle w:val="TableGrid"/>
              <w:tblW w:w="4320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20"/>
            </w:tblGrid>
            <w:tr w:rsidR="005D4144" w14:paraId="61F0526A" w14:textId="77777777" w:rsidTr="00D53487">
              <w:trPr>
                <w:jc w:val="center"/>
              </w:trPr>
              <w:tc>
                <w:tcPr>
                  <w:tcW w:w="7396" w:type="dxa"/>
                  <w:tcBorders>
                    <w:bottom w:val="single" w:sz="4" w:space="0" w:color="auto"/>
                  </w:tcBorders>
                </w:tcPr>
                <w:p w14:paraId="0419842D" w14:textId="6E50C2BD" w:rsidR="005D4144" w:rsidRPr="00CC36F3" w:rsidRDefault="00CC36F3" w:rsidP="0048632A">
                  <w:pPr>
                    <w:tabs>
                      <w:tab w:val="left" w:pos="4307"/>
                    </w:tabs>
                    <w:jc w:val="center"/>
                    <w:rPr>
                      <w:b/>
                      <w:bCs/>
                      <w:noProof/>
                    </w:rPr>
                  </w:pPr>
                  <w:r w:rsidRPr="00CC36F3">
                    <w:rPr>
                      <w:b/>
                      <w:bCs/>
                      <w:noProof/>
                      <w:color w:val="FF0000"/>
                    </w:rPr>
                    <w:t>DRAFT</w:t>
                  </w:r>
                </w:p>
              </w:tc>
            </w:tr>
            <w:tr w:rsidR="005D4144" w14:paraId="3CF124DC" w14:textId="77777777" w:rsidTr="00D53487">
              <w:trPr>
                <w:jc w:val="center"/>
              </w:trPr>
              <w:tc>
                <w:tcPr>
                  <w:tcW w:w="7396" w:type="dxa"/>
                  <w:tcBorders>
                    <w:top w:val="single" w:sz="4" w:space="0" w:color="auto"/>
                  </w:tcBorders>
                </w:tcPr>
                <w:p w14:paraId="2EE67593" w14:textId="77777777" w:rsidR="005D4144" w:rsidRPr="00D53487" w:rsidRDefault="005D4144" w:rsidP="005D4144">
                  <w:pPr>
                    <w:tabs>
                      <w:tab w:val="left" w:pos="4307"/>
                    </w:tabs>
                    <w:jc w:val="center"/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</w:pPr>
                  <w:r w:rsidRPr="00D53487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 xml:space="preserve">Tom B. Rabon, Jr. </w:t>
                  </w:r>
                </w:p>
                <w:p w14:paraId="5B96A2D1" w14:textId="5A394ACA" w:rsidR="005D4144" w:rsidRDefault="005D4144" w:rsidP="005D4144">
                  <w:pPr>
                    <w:tabs>
                      <w:tab w:val="left" w:pos="4307"/>
                    </w:tabs>
                    <w:jc w:val="center"/>
                    <w:rPr>
                      <w:noProof/>
                    </w:rPr>
                  </w:pPr>
                  <w:r w:rsidRPr="00D53487">
                    <w:rPr>
                      <w:rFonts w:ascii="Times New Roman" w:hAnsi="Times New Roman" w:cs="Times New Roman"/>
                      <w:b/>
                      <w:bCs/>
                      <w:noProof/>
                      <w:sz w:val="20"/>
                      <w:szCs w:val="20"/>
                    </w:rPr>
                    <w:t>Chair, NCWorks Commission</w:t>
                  </w:r>
                </w:p>
              </w:tc>
            </w:tr>
          </w:tbl>
          <w:p w14:paraId="658AAAEB" w14:textId="45BFD36F" w:rsidR="0048632A" w:rsidRPr="00C043D1" w:rsidRDefault="0048632A" w:rsidP="00D53487">
            <w:pPr>
              <w:pStyle w:val="paragraph"/>
              <w:spacing w:before="0" w:beforeAutospacing="0" w:after="0" w:afterAutospacing="0"/>
              <w:textAlignment w:val="baseline"/>
            </w:pPr>
          </w:p>
        </w:tc>
      </w:tr>
    </w:tbl>
    <w:p w14:paraId="6489F6D6" w14:textId="77777777" w:rsidR="00115F70" w:rsidRDefault="00115F70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1080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2"/>
        <w:gridCol w:w="8848"/>
      </w:tblGrid>
      <w:tr w:rsidR="00221323" w14:paraId="0177AEC7" w14:textId="77777777" w:rsidTr="00D53487">
        <w:trPr>
          <w:jc w:val="center"/>
        </w:trPr>
        <w:tc>
          <w:tcPr>
            <w:tcW w:w="1770" w:type="dxa"/>
          </w:tcPr>
          <w:p w14:paraId="7E00FFDC" w14:textId="77777777" w:rsidR="00221323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Purpose:</w:t>
            </w:r>
          </w:p>
          <w:p w14:paraId="0764A791" w14:textId="77777777" w:rsidR="005822F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48837A92" w14:textId="532FF050" w:rsidR="00E41C9C" w:rsidRDefault="00E91969" w:rsidP="00823B63">
            <w:pPr>
              <w:pStyle w:val="BodyTextIndent"/>
              <w:ind w:left="0" w:firstLine="0"/>
              <w:jc w:val="both"/>
            </w:pPr>
            <w:r>
              <w:t xml:space="preserve">To transmit the N.C. Division of Workforce Solutions’ (DWS) </w:t>
            </w:r>
            <w:r w:rsidR="00DB0F41">
              <w:t>Local and Regional Area Workforce Innovation and Opportunity Act (WIOA) Title I Plan Instructions</w:t>
            </w:r>
            <w:r w:rsidR="00DB0F41" w:rsidRPr="003F4038">
              <w:t xml:space="preserve"> </w:t>
            </w:r>
            <w:r w:rsidR="00902450" w:rsidRPr="003F4038">
              <w:t>for July 1, 202</w:t>
            </w:r>
            <w:r w:rsidR="00DB06A3">
              <w:t>3</w:t>
            </w:r>
            <w:r w:rsidR="00902450" w:rsidRPr="003F4038">
              <w:t xml:space="preserve"> through June 30, 202</w:t>
            </w:r>
            <w:r w:rsidR="00DB06A3">
              <w:t>4</w:t>
            </w:r>
            <w:r w:rsidR="00902450">
              <w:t xml:space="preserve"> (Program Year</w:t>
            </w:r>
            <w:r w:rsidR="00504BF0">
              <w:t xml:space="preserve"> (PY</w:t>
            </w:r>
            <w:r w:rsidR="00902450">
              <w:t>)</w:t>
            </w:r>
            <w:r w:rsidR="00504BF0">
              <w:t xml:space="preserve"> 2023</w:t>
            </w:r>
            <w:r w:rsidR="005D4144">
              <w:t>)</w:t>
            </w:r>
            <w:r>
              <w:t xml:space="preserve">. </w:t>
            </w:r>
          </w:p>
          <w:p w14:paraId="48E482B8" w14:textId="0A50601A" w:rsidR="00012528" w:rsidRPr="007C779B" w:rsidRDefault="00012528" w:rsidP="00D85D44">
            <w:pPr>
              <w:pStyle w:val="BodyTextIndent"/>
              <w:ind w:left="0" w:firstLine="0"/>
              <w:jc w:val="both"/>
            </w:pPr>
          </w:p>
        </w:tc>
      </w:tr>
      <w:tr w:rsidR="00221323" w:rsidRPr="005C1431" w14:paraId="344BE64A" w14:textId="77777777" w:rsidTr="00D53487">
        <w:trPr>
          <w:jc w:val="center"/>
        </w:trPr>
        <w:tc>
          <w:tcPr>
            <w:tcW w:w="1770" w:type="dxa"/>
          </w:tcPr>
          <w:p w14:paraId="6778CB47" w14:textId="77777777" w:rsidR="00221323" w:rsidRPr="005C1431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5C1431">
              <w:rPr>
                <w:b/>
                <w:bCs/>
                <w:spacing w:val="-3"/>
              </w:rPr>
              <w:t>Background:</w:t>
            </w:r>
          </w:p>
          <w:p w14:paraId="201B4B79" w14:textId="77777777" w:rsidR="005822F1" w:rsidRPr="005C143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6442F2D2" w14:textId="7CB255CB" w:rsidR="000B1020" w:rsidRDefault="00E84C17">
            <w:pPr>
              <w:pStyle w:val="BodyTextIndent"/>
              <w:ind w:left="0" w:firstLine="0"/>
              <w:jc w:val="both"/>
            </w:pPr>
            <w:r>
              <w:t>North Carolina requires each Local Area Workforce Development Board (WDB)</w:t>
            </w:r>
            <w:r w:rsidR="002F0E31">
              <w:t>, in partnership with the Chief Local Elected Official</w:t>
            </w:r>
            <w:r w:rsidR="005D3716">
              <w:t xml:space="preserve"> (CLEO)</w:t>
            </w:r>
            <w:r w:rsidR="002F0E31">
              <w:t>,</w:t>
            </w:r>
            <w:r>
              <w:t xml:space="preserve"> to annually review the Local</w:t>
            </w:r>
            <w:r w:rsidR="00741704">
              <w:t xml:space="preserve"> Area </w:t>
            </w:r>
            <w:r>
              <w:t>Plan</w:t>
            </w:r>
            <w:r w:rsidR="002F0E31">
              <w:t>,</w:t>
            </w:r>
            <w:r>
              <w:t xml:space="preserve"> </w:t>
            </w:r>
            <w:r w:rsidR="00164EC6">
              <w:t>b</w:t>
            </w:r>
            <w:r>
              <w:t>oard membership</w:t>
            </w:r>
            <w:r w:rsidR="002F0E31">
              <w:t xml:space="preserve">, </w:t>
            </w:r>
            <w:r w:rsidR="00D53487">
              <w:t xml:space="preserve">and </w:t>
            </w:r>
            <w:r>
              <w:t xml:space="preserve">prepare and submit modifications to the Local </w:t>
            </w:r>
            <w:r w:rsidR="008346FD">
              <w:t xml:space="preserve">Area </w:t>
            </w:r>
            <w:r>
              <w:t>Plan to reflect changes in labor market and economic conditions or other factors affecting the implement</w:t>
            </w:r>
            <w:r w:rsidR="00E50B4D">
              <w:t>ation</w:t>
            </w:r>
            <w:r w:rsidR="00F05FE1">
              <w:t xml:space="preserve"> of</w:t>
            </w:r>
            <w:r>
              <w:t xml:space="preserve"> the Local </w:t>
            </w:r>
            <w:r w:rsidR="008346FD">
              <w:t xml:space="preserve">Area </w:t>
            </w:r>
            <w:r>
              <w:t>Plan. [WIOA 108(a)]</w:t>
            </w:r>
          </w:p>
          <w:p w14:paraId="6F56DD6B" w14:textId="72794C14" w:rsidR="0053775C" w:rsidRDefault="0053775C">
            <w:pPr>
              <w:pStyle w:val="BodyTextIndent"/>
              <w:ind w:left="0" w:firstLine="0"/>
              <w:jc w:val="both"/>
            </w:pPr>
          </w:p>
          <w:p w14:paraId="32688A89" w14:textId="6F977991" w:rsidR="0053775C" w:rsidRDefault="0053775C">
            <w:pPr>
              <w:pStyle w:val="BodyTextIndent"/>
              <w:ind w:left="0" w:firstLine="0"/>
              <w:jc w:val="both"/>
            </w:pPr>
            <w:r w:rsidRPr="00BE1247">
              <w:t>The Local Area Plan will support the alignment strategy described in the 2020-2024 NC Unified State Plan in accordance with WIOA Section 102(b)(1)(E), and otherwise be consistent with the NC Unified State Plan.</w:t>
            </w:r>
          </w:p>
          <w:p w14:paraId="7B48D623" w14:textId="1C618549" w:rsidR="00E84C17" w:rsidRPr="007C779B" w:rsidRDefault="00E84C17">
            <w:pPr>
              <w:pStyle w:val="BodyTextIndent"/>
              <w:ind w:left="0" w:firstLine="0"/>
              <w:jc w:val="both"/>
            </w:pPr>
          </w:p>
        </w:tc>
      </w:tr>
      <w:tr w:rsidR="00221323" w14:paraId="6A2E18E1" w14:textId="77777777" w:rsidTr="00D53487">
        <w:trPr>
          <w:jc w:val="center"/>
        </w:trPr>
        <w:tc>
          <w:tcPr>
            <w:tcW w:w="1770" w:type="dxa"/>
          </w:tcPr>
          <w:p w14:paraId="5ECE7C2C" w14:textId="5F616684" w:rsidR="00221323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Action:</w:t>
            </w:r>
          </w:p>
          <w:p w14:paraId="327E9547" w14:textId="77777777" w:rsidR="005822F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15E423F4" w14:textId="21056E1A" w:rsidR="001F5983" w:rsidRDefault="000726A4" w:rsidP="0085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4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Workforce Development Boards are to follow the attached instructions for development of Local Area Plan updates for July 1, </w:t>
            </w:r>
            <w:r w:rsidR="00E67473" w:rsidRPr="003F4038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55A2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F4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through June 30, 202</w:t>
            </w:r>
            <w:r w:rsidR="00D5348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3F40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14:paraId="0B105104" w14:textId="77777777" w:rsidR="001F5983" w:rsidRDefault="001F5983" w:rsidP="0085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20FBA8" w14:textId="08EDB899" w:rsidR="00E44EA0" w:rsidRDefault="00333F82" w:rsidP="0085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Completed </w:t>
            </w:r>
            <w:r w:rsidR="000726A4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7C3366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 </w:t>
            </w:r>
            <w:r w:rsidR="000726A4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255A2F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0726A4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Area Plans are due to the DWS by </w:t>
            </w:r>
            <w:r w:rsidR="00E67473" w:rsidRPr="00672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May </w:t>
            </w:r>
            <w:r w:rsidR="00255A2F" w:rsidRPr="00672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E67473" w:rsidRPr="00672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255A2F" w:rsidRPr="006726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3E2A42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E67473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</w:t>
            </w:r>
            <w:r w:rsidR="00C93DB5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br/>
            </w:r>
            <w:r w:rsidR="000726A4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are to be submitted </w:t>
            </w:r>
            <w:r w:rsidR="004E4B8F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>in</w:t>
            </w:r>
            <w:r w:rsidR="000726A4" w:rsidRPr="70E66A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 Workforce Information System Enterprise (WISE).</w:t>
            </w:r>
          </w:p>
          <w:p w14:paraId="27470240" w14:textId="23A488CE" w:rsidR="00AD5815" w:rsidRPr="00AD5815" w:rsidRDefault="00AD5815" w:rsidP="00851B2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323" w14:paraId="2F0F4ED0" w14:textId="77777777" w:rsidTr="00D53487">
        <w:trPr>
          <w:jc w:val="center"/>
        </w:trPr>
        <w:tc>
          <w:tcPr>
            <w:tcW w:w="1770" w:type="dxa"/>
          </w:tcPr>
          <w:p w14:paraId="057D6275" w14:textId="77777777" w:rsidR="00221323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Effective Date:</w:t>
            </w:r>
          </w:p>
          <w:p w14:paraId="3636D981" w14:textId="77777777" w:rsidR="005822F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7142E9C6" w14:textId="16DF6170" w:rsidR="00221323" w:rsidRPr="00FF6033" w:rsidRDefault="00FF6033" w:rsidP="001A001E">
            <w:pPr>
              <w:pStyle w:val="BodyTextIndent"/>
              <w:ind w:left="0" w:firstLine="0"/>
            </w:pPr>
            <w:r w:rsidRPr="00FF6033">
              <w:t xml:space="preserve">February </w:t>
            </w:r>
            <w:r w:rsidR="00255A2F">
              <w:t>8</w:t>
            </w:r>
            <w:r w:rsidRPr="00FF6033">
              <w:t>, 202</w:t>
            </w:r>
            <w:r w:rsidR="00255A2F">
              <w:t>3</w:t>
            </w:r>
          </w:p>
        </w:tc>
      </w:tr>
      <w:tr w:rsidR="00221323" w14:paraId="4D45E4D5" w14:textId="77777777" w:rsidTr="00D53487">
        <w:trPr>
          <w:jc w:val="center"/>
        </w:trPr>
        <w:tc>
          <w:tcPr>
            <w:tcW w:w="1770" w:type="dxa"/>
          </w:tcPr>
          <w:p w14:paraId="794F3B08" w14:textId="77777777" w:rsidR="00221323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Expiration:</w:t>
            </w:r>
          </w:p>
          <w:p w14:paraId="6F9887F5" w14:textId="77777777" w:rsidR="005822F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49A4AB21" w14:textId="133D0A95" w:rsidR="00221323" w:rsidRPr="00FF6033" w:rsidRDefault="00FF6033" w:rsidP="001A001E">
            <w:pPr>
              <w:pStyle w:val="BodyTextIndent"/>
              <w:ind w:left="0" w:firstLine="0"/>
            </w:pPr>
            <w:r>
              <w:t>June 30, 202</w:t>
            </w:r>
            <w:r w:rsidR="00255A2F">
              <w:t>4</w:t>
            </w:r>
          </w:p>
        </w:tc>
      </w:tr>
      <w:tr w:rsidR="00221323" w14:paraId="6A210442" w14:textId="77777777" w:rsidTr="00D53487">
        <w:trPr>
          <w:jc w:val="center"/>
        </w:trPr>
        <w:tc>
          <w:tcPr>
            <w:tcW w:w="1770" w:type="dxa"/>
          </w:tcPr>
          <w:p w14:paraId="0D68A309" w14:textId="77777777" w:rsidR="00221323" w:rsidRDefault="00221323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>
              <w:rPr>
                <w:b/>
                <w:bCs/>
                <w:spacing w:val="-3"/>
              </w:rPr>
              <w:t>Contact:</w:t>
            </w:r>
          </w:p>
          <w:p w14:paraId="02435A14" w14:textId="77777777" w:rsidR="005822F1" w:rsidRDefault="005822F1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</w:p>
        </w:tc>
        <w:tc>
          <w:tcPr>
            <w:tcW w:w="8022" w:type="dxa"/>
          </w:tcPr>
          <w:p w14:paraId="6CE36184" w14:textId="6B5BF269" w:rsidR="00221323" w:rsidRPr="00FF6033" w:rsidRDefault="0056646F" w:rsidP="001A001E">
            <w:pPr>
              <w:pStyle w:val="BodyTextIndent"/>
              <w:ind w:left="0" w:firstLine="0"/>
            </w:pPr>
            <w:r w:rsidRPr="00FF6033">
              <w:t>DWS Planner</w:t>
            </w:r>
          </w:p>
        </w:tc>
      </w:tr>
      <w:tr w:rsidR="00700BDC" w14:paraId="567E43D9" w14:textId="77777777" w:rsidTr="00D53487">
        <w:trPr>
          <w:jc w:val="center"/>
        </w:trPr>
        <w:tc>
          <w:tcPr>
            <w:tcW w:w="1770" w:type="dxa"/>
          </w:tcPr>
          <w:p w14:paraId="232DDA97" w14:textId="13A2BA2A" w:rsidR="00700BDC" w:rsidRPr="00E44EA0" w:rsidRDefault="00E44EA0" w:rsidP="00BC66B4">
            <w:pPr>
              <w:pStyle w:val="BodyTextIndent"/>
              <w:ind w:left="0" w:firstLine="0"/>
              <w:jc w:val="both"/>
              <w:rPr>
                <w:b/>
                <w:bCs/>
                <w:spacing w:val="-3"/>
              </w:rPr>
            </w:pPr>
            <w:r w:rsidRPr="00E44EA0">
              <w:rPr>
                <w:b/>
                <w:bCs/>
                <w:spacing w:val="-3"/>
              </w:rPr>
              <w:t>Attachment</w:t>
            </w:r>
            <w:r w:rsidR="00D4715F">
              <w:rPr>
                <w:b/>
                <w:bCs/>
                <w:spacing w:val="-3"/>
              </w:rPr>
              <w:t>s</w:t>
            </w:r>
            <w:r w:rsidRPr="00E44EA0">
              <w:rPr>
                <w:b/>
                <w:bCs/>
                <w:spacing w:val="-3"/>
              </w:rPr>
              <w:t>:</w:t>
            </w:r>
          </w:p>
        </w:tc>
        <w:tc>
          <w:tcPr>
            <w:tcW w:w="8022" w:type="dxa"/>
          </w:tcPr>
          <w:p w14:paraId="6EFC3057" w14:textId="505E3AF7" w:rsidR="00700BDC" w:rsidRDefault="00C5539E" w:rsidP="00D53487">
            <w:pPr>
              <w:pStyle w:val="BodyTextIndent"/>
              <w:numPr>
                <w:ilvl w:val="0"/>
                <w:numId w:val="14"/>
              </w:numPr>
            </w:pPr>
            <w:r>
              <w:t>PY</w:t>
            </w:r>
            <w:r w:rsidR="00BA655E">
              <w:t xml:space="preserve"> 202</w:t>
            </w:r>
            <w:r w:rsidR="00146A09">
              <w:t>3</w:t>
            </w:r>
            <w:r w:rsidR="00BA655E">
              <w:t xml:space="preserve"> Local Area Workforce Development </w:t>
            </w:r>
            <w:r w:rsidR="007971DC">
              <w:t>Plan Instructions</w:t>
            </w:r>
          </w:p>
          <w:p w14:paraId="4A08F184" w14:textId="3523E7E9" w:rsidR="00B94F02" w:rsidRDefault="0067267C" w:rsidP="00D53487">
            <w:pPr>
              <w:pStyle w:val="BodyTextIndent"/>
              <w:numPr>
                <w:ilvl w:val="0"/>
                <w:numId w:val="14"/>
              </w:numPr>
            </w:pPr>
            <w:r>
              <w:t>PY 2</w:t>
            </w:r>
            <w:r w:rsidR="003C331C">
              <w:t>02</w:t>
            </w:r>
            <w:r>
              <w:t xml:space="preserve">3 </w:t>
            </w:r>
            <w:r w:rsidR="00B94F02">
              <w:t>Plan Attachments</w:t>
            </w:r>
          </w:p>
          <w:p w14:paraId="312794A5" w14:textId="1554BDA5" w:rsidR="00BA655E" w:rsidRPr="00E9389B" w:rsidRDefault="00BA655E" w:rsidP="001A001E">
            <w:pPr>
              <w:pStyle w:val="BodyTextIndent"/>
              <w:ind w:left="0" w:firstLine="0"/>
              <w:rPr>
                <w:bCs/>
                <w:strike/>
                <w:spacing w:val="1"/>
              </w:rPr>
            </w:pPr>
          </w:p>
        </w:tc>
      </w:tr>
    </w:tbl>
    <w:p w14:paraId="0FAD39C3" w14:textId="77777777" w:rsidR="00221323" w:rsidRDefault="00221323" w:rsidP="006424EA">
      <w:pPr>
        <w:spacing w:after="0" w:line="200" w:lineRule="exact"/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</w:pPr>
    </w:p>
    <w:sectPr w:rsidR="00221323" w:rsidSect="00D53487">
      <w:footerReference w:type="defaul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4FC2F" w14:textId="77777777" w:rsidR="00951B1D" w:rsidRDefault="00951B1D" w:rsidP="00221323">
      <w:pPr>
        <w:spacing w:after="0" w:line="240" w:lineRule="auto"/>
      </w:pPr>
      <w:r>
        <w:separator/>
      </w:r>
    </w:p>
  </w:endnote>
  <w:endnote w:type="continuationSeparator" w:id="0">
    <w:p w14:paraId="3810324B" w14:textId="77777777" w:rsidR="00951B1D" w:rsidRDefault="00951B1D" w:rsidP="00221323">
      <w:pPr>
        <w:spacing w:after="0" w:line="240" w:lineRule="auto"/>
      </w:pPr>
      <w:r>
        <w:continuationSeparator/>
      </w:r>
    </w:p>
  </w:endnote>
  <w:endnote w:type="continuationNotice" w:id="1">
    <w:p w14:paraId="4BF310A6" w14:textId="77777777" w:rsidR="00951B1D" w:rsidRDefault="00951B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8DA2E5" w14:textId="77777777" w:rsidR="00221323" w:rsidRDefault="00221323" w:rsidP="00221323">
    <w:pPr>
      <w:spacing w:before="40" w:after="0" w:line="240" w:lineRule="auto"/>
      <w:ind w:left="2761" w:right="2763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Op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or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un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y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ff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ati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cti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m</w:t>
    </w:r>
    <w:r>
      <w:rPr>
        <w:rFonts w:ascii="Times New Roman" w:eastAsia="Times New Roman" w:hAnsi="Times New Roman" w:cs="Times New Roman"/>
        <w:spacing w:val="1"/>
        <w:sz w:val="16"/>
        <w:szCs w:val="16"/>
      </w:rPr>
      <w:t>p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loy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/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Pro</w:t>
    </w:r>
    <w:r>
      <w:rPr>
        <w:rFonts w:ascii="Times New Roman" w:eastAsia="Times New Roman" w:hAnsi="Times New Roman" w:cs="Times New Roman"/>
        <w:spacing w:val="1"/>
        <w:sz w:val="16"/>
        <w:szCs w:val="16"/>
      </w:rPr>
      <w:t>g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z w:val="16"/>
        <w:szCs w:val="16"/>
      </w:rPr>
      <w:t>m</w:t>
    </w:r>
  </w:p>
  <w:p w14:paraId="6BAECF61" w14:textId="77777777" w:rsidR="00221323" w:rsidRPr="00221323" w:rsidRDefault="00221323" w:rsidP="00221323">
    <w:pPr>
      <w:spacing w:after="0" w:line="182" w:lineRule="exact"/>
      <w:ind w:left="2151" w:right="2151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pacing w:val="-3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x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ia</w:t>
    </w:r>
    <w:r>
      <w:rPr>
        <w:rFonts w:ascii="Times New Roman" w:eastAsia="Times New Roman" w:hAnsi="Times New Roman" w:cs="Times New Roman"/>
        <w:spacing w:val="2"/>
        <w:sz w:val="16"/>
        <w:szCs w:val="16"/>
      </w:rPr>
      <w:t>r</w:t>
    </w:r>
    <w:r>
      <w:rPr>
        <w:rFonts w:ascii="Times New Roman" w:eastAsia="Times New Roman" w:hAnsi="Times New Roman" w:cs="Times New Roman"/>
        <w:sz w:val="16"/>
        <w:szCs w:val="16"/>
      </w:rPr>
      <w:t>y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aid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n</w:t>
    </w:r>
    <w:r>
      <w:rPr>
        <w:rFonts w:ascii="Times New Roman" w:eastAsia="Times New Roman" w:hAnsi="Times New Roman" w:cs="Times New Roman"/>
        <w:sz w:val="16"/>
        <w:szCs w:val="16"/>
      </w:rPr>
      <w:t>d s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ic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a</w:t>
    </w:r>
    <w:r>
      <w:rPr>
        <w:rFonts w:ascii="Times New Roman" w:eastAsia="Times New Roman" w:hAnsi="Times New Roman" w:cs="Times New Roman"/>
        <w:spacing w:val="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up</w:t>
    </w:r>
    <w:r>
      <w:rPr>
        <w:rFonts w:ascii="Times New Roman" w:eastAsia="Times New Roman" w:hAnsi="Times New Roman" w:cs="Times New Roman"/>
        <w:spacing w:val="-4"/>
        <w:sz w:val="16"/>
        <w:szCs w:val="16"/>
      </w:rPr>
      <w:t>o</w:t>
    </w:r>
    <w:r>
      <w:rPr>
        <w:rFonts w:ascii="Times New Roman" w:eastAsia="Times New Roman" w:hAnsi="Times New Roman" w:cs="Times New Roman"/>
        <w:sz w:val="16"/>
        <w:szCs w:val="16"/>
      </w:rPr>
      <w:t>n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r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q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st</w:t>
    </w:r>
    <w:r>
      <w:rPr>
        <w:rFonts w:ascii="Times New Roman" w:eastAsia="Times New Roman" w:hAnsi="Times New Roman" w:cs="Times New Roman"/>
        <w:spacing w:val="2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>o</w:t>
    </w:r>
    <w:r>
      <w:rPr>
        <w:rFonts w:ascii="Times New Roman" w:eastAsia="Times New Roman" w:hAnsi="Times New Roman" w:cs="Times New Roman"/>
        <w:spacing w:val="-3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nd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v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d</w:t>
    </w:r>
    <w:r>
      <w:rPr>
        <w:rFonts w:ascii="Times New Roman" w:eastAsia="Times New Roman" w:hAnsi="Times New Roman" w:cs="Times New Roman"/>
        <w:spacing w:val="1"/>
        <w:sz w:val="16"/>
        <w:szCs w:val="16"/>
      </w:rPr>
      <w:t>ua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w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t</w:t>
    </w:r>
    <w:r>
      <w:rPr>
        <w:rFonts w:ascii="Times New Roman" w:eastAsia="Times New Roman" w:hAnsi="Times New Roman" w:cs="Times New Roman"/>
        <w:sz w:val="16"/>
        <w:szCs w:val="16"/>
      </w:rPr>
      <w:t xml:space="preserve">h </w:t>
    </w:r>
    <w:r>
      <w:rPr>
        <w:rFonts w:ascii="Times New Roman" w:eastAsia="Times New Roman" w:hAnsi="Times New Roman" w:cs="Times New Roman"/>
        <w:spacing w:val="1"/>
        <w:sz w:val="16"/>
        <w:szCs w:val="16"/>
      </w:rPr>
      <w:t>di</w:t>
    </w:r>
    <w:r>
      <w:rPr>
        <w:rFonts w:ascii="Times New Roman" w:eastAsia="Times New Roman" w:hAnsi="Times New Roman" w:cs="Times New Roman"/>
        <w:spacing w:val="-3"/>
        <w:sz w:val="16"/>
        <w:szCs w:val="16"/>
      </w:rPr>
      <w:t>s</w:t>
    </w:r>
    <w:r>
      <w:rPr>
        <w:rFonts w:ascii="Times New Roman" w:eastAsia="Times New Roman" w:hAnsi="Times New Roman" w:cs="Times New Roman"/>
        <w:spacing w:val="1"/>
        <w:sz w:val="16"/>
        <w:szCs w:val="16"/>
      </w:rPr>
      <w:t>a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b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</w:t>
    </w:r>
    <w:r>
      <w:rPr>
        <w:rFonts w:ascii="Times New Roman" w:eastAsia="Times New Roman" w:hAnsi="Times New Roman" w:cs="Times New Roman"/>
        <w:spacing w:val="-1"/>
        <w:sz w:val="16"/>
        <w:szCs w:val="16"/>
      </w:rPr>
      <w:t>l</w:t>
    </w:r>
    <w:r>
      <w:rPr>
        <w:rFonts w:ascii="Times New Roman" w:eastAsia="Times New Roman" w:hAnsi="Times New Roman" w:cs="Times New Roman"/>
        <w:spacing w:val="1"/>
        <w:sz w:val="16"/>
        <w:szCs w:val="16"/>
      </w:rPr>
      <w:t>iti</w:t>
    </w:r>
    <w:r>
      <w:rPr>
        <w:rFonts w:ascii="Times New Roman" w:eastAsia="Times New Roman" w:hAnsi="Times New Roman" w:cs="Times New Roman"/>
        <w:spacing w:val="-2"/>
        <w:sz w:val="16"/>
        <w:szCs w:val="16"/>
      </w:rPr>
      <w:t>e</w:t>
    </w:r>
    <w:r>
      <w:rPr>
        <w:rFonts w:ascii="Times New Roman" w:eastAsia="Times New Roman" w:hAnsi="Times New Roman" w:cs="Times New Roman"/>
        <w:sz w:val="16"/>
        <w:szCs w:val="16"/>
      </w:rPr>
      <w:t>s</w:t>
    </w:r>
  </w:p>
  <w:p w14:paraId="2C56B22D" w14:textId="77777777" w:rsidR="00221323" w:rsidRDefault="002213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F7D3" w14:textId="77777777" w:rsidR="00951B1D" w:rsidRDefault="00951B1D" w:rsidP="00221323">
      <w:pPr>
        <w:spacing w:after="0" w:line="240" w:lineRule="auto"/>
      </w:pPr>
      <w:r>
        <w:separator/>
      </w:r>
    </w:p>
  </w:footnote>
  <w:footnote w:type="continuationSeparator" w:id="0">
    <w:p w14:paraId="47D8A88C" w14:textId="77777777" w:rsidR="00951B1D" w:rsidRDefault="00951B1D" w:rsidP="00221323">
      <w:pPr>
        <w:spacing w:after="0" w:line="240" w:lineRule="auto"/>
      </w:pPr>
      <w:r>
        <w:continuationSeparator/>
      </w:r>
    </w:p>
  </w:footnote>
  <w:footnote w:type="continuationNotice" w:id="1">
    <w:p w14:paraId="2FC8BF50" w14:textId="77777777" w:rsidR="00951B1D" w:rsidRDefault="00951B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F34A3"/>
    <w:multiLevelType w:val="hybridMultilevel"/>
    <w:tmpl w:val="13D2C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107BE"/>
    <w:multiLevelType w:val="hybridMultilevel"/>
    <w:tmpl w:val="7194DA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38724F"/>
    <w:multiLevelType w:val="hybridMultilevel"/>
    <w:tmpl w:val="4578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0379B5"/>
    <w:multiLevelType w:val="hybridMultilevel"/>
    <w:tmpl w:val="AC107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32F60CD"/>
    <w:multiLevelType w:val="hybridMultilevel"/>
    <w:tmpl w:val="70B8A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7A1157"/>
    <w:multiLevelType w:val="hybridMultilevel"/>
    <w:tmpl w:val="C3A04B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062E2"/>
    <w:multiLevelType w:val="hybridMultilevel"/>
    <w:tmpl w:val="69D802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6D81B6D"/>
    <w:multiLevelType w:val="hybridMultilevel"/>
    <w:tmpl w:val="C2885A5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4BC76643"/>
    <w:multiLevelType w:val="hybridMultilevel"/>
    <w:tmpl w:val="BB1A8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11CA3"/>
    <w:multiLevelType w:val="hybridMultilevel"/>
    <w:tmpl w:val="9D5427C6"/>
    <w:lvl w:ilvl="0" w:tplc="28E8A286">
      <w:start w:val="1"/>
      <w:numFmt w:val="bullet"/>
      <w:lvlText w:val="•"/>
      <w:lvlJc w:val="left"/>
      <w:pPr>
        <w:ind w:left="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0AAA8A">
      <w:start w:val="1"/>
      <w:numFmt w:val="bullet"/>
      <w:lvlText w:val="o"/>
      <w:lvlJc w:val="left"/>
      <w:pPr>
        <w:ind w:left="1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96035C">
      <w:start w:val="1"/>
      <w:numFmt w:val="bullet"/>
      <w:lvlText w:val="▪"/>
      <w:lvlJc w:val="left"/>
      <w:pPr>
        <w:ind w:left="2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E6CBEE">
      <w:start w:val="1"/>
      <w:numFmt w:val="bullet"/>
      <w:lvlText w:val="•"/>
      <w:lvlJc w:val="left"/>
      <w:pPr>
        <w:ind w:left="3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3A0FDA">
      <w:start w:val="1"/>
      <w:numFmt w:val="bullet"/>
      <w:lvlText w:val="o"/>
      <w:lvlJc w:val="left"/>
      <w:pPr>
        <w:ind w:left="3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8C0CA2">
      <w:start w:val="1"/>
      <w:numFmt w:val="bullet"/>
      <w:lvlText w:val="▪"/>
      <w:lvlJc w:val="left"/>
      <w:pPr>
        <w:ind w:left="4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52A806">
      <w:start w:val="1"/>
      <w:numFmt w:val="bullet"/>
      <w:lvlText w:val="•"/>
      <w:lvlJc w:val="left"/>
      <w:pPr>
        <w:ind w:left="51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27198">
      <w:start w:val="1"/>
      <w:numFmt w:val="bullet"/>
      <w:lvlText w:val="o"/>
      <w:lvlJc w:val="left"/>
      <w:pPr>
        <w:ind w:left="5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0E7E38">
      <w:start w:val="1"/>
      <w:numFmt w:val="bullet"/>
      <w:lvlText w:val="▪"/>
      <w:lvlJc w:val="left"/>
      <w:pPr>
        <w:ind w:left="66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C270E6D"/>
    <w:multiLevelType w:val="hybridMultilevel"/>
    <w:tmpl w:val="4BD2349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3A14026"/>
    <w:multiLevelType w:val="hybridMultilevel"/>
    <w:tmpl w:val="58507C3A"/>
    <w:lvl w:ilvl="0" w:tplc="04090001">
      <w:start w:val="1"/>
      <w:numFmt w:val="bullet"/>
      <w:lvlText w:val=""/>
      <w:lvlJc w:val="left"/>
      <w:pPr>
        <w:ind w:left="7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abstractNum w:abstractNumId="12" w15:restartNumberingAfterBreak="0">
    <w:nsid w:val="751A3BDD"/>
    <w:multiLevelType w:val="hybridMultilevel"/>
    <w:tmpl w:val="AE06A4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227E0"/>
    <w:multiLevelType w:val="hybridMultilevel"/>
    <w:tmpl w:val="0C36CC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9"/>
  </w:num>
  <w:num w:numId="5">
    <w:abstractNumId w:val="2"/>
  </w:num>
  <w:num w:numId="6">
    <w:abstractNumId w:val="5"/>
  </w:num>
  <w:num w:numId="7">
    <w:abstractNumId w:val="8"/>
  </w:num>
  <w:num w:numId="8">
    <w:abstractNumId w:val="3"/>
  </w:num>
  <w:num w:numId="9">
    <w:abstractNumId w:val="0"/>
  </w:num>
  <w:num w:numId="10">
    <w:abstractNumId w:val="1"/>
  </w:num>
  <w:num w:numId="11">
    <w:abstractNumId w:val="7"/>
  </w:num>
  <w:num w:numId="12">
    <w:abstractNumId w:val="13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F70"/>
    <w:rsid w:val="00000637"/>
    <w:rsid w:val="00001BA1"/>
    <w:rsid w:val="0001185C"/>
    <w:rsid w:val="00012528"/>
    <w:rsid w:val="00046130"/>
    <w:rsid w:val="00051D44"/>
    <w:rsid w:val="00053899"/>
    <w:rsid w:val="000565C9"/>
    <w:rsid w:val="00056613"/>
    <w:rsid w:val="000674F6"/>
    <w:rsid w:val="000726A4"/>
    <w:rsid w:val="000826D2"/>
    <w:rsid w:val="00084745"/>
    <w:rsid w:val="00094FB5"/>
    <w:rsid w:val="000A0ED2"/>
    <w:rsid w:val="000A47A4"/>
    <w:rsid w:val="000B1020"/>
    <w:rsid w:val="000B1C10"/>
    <w:rsid w:val="000C04A6"/>
    <w:rsid w:val="000C29EB"/>
    <w:rsid w:val="000D028A"/>
    <w:rsid w:val="000D2A15"/>
    <w:rsid w:val="000D6B20"/>
    <w:rsid w:val="001012ED"/>
    <w:rsid w:val="00101C5D"/>
    <w:rsid w:val="00105577"/>
    <w:rsid w:val="00115F70"/>
    <w:rsid w:val="00125E1E"/>
    <w:rsid w:val="001266F7"/>
    <w:rsid w:val="001314DD"/>
    <w:rsid w:val="001413AA"/>
    <w:rsid w:val="00145CBE"/>
    <w:rsid w:val="00146A09"/>
    <w:rsid w:val="00146DD8"/>
    <w:rsid w:val="001506CE"/>
    <w:rsid w:val="0015184B"/>
    <w:rsid w:val="00160142"/>
    <w:rsid w:val="00163C08"/>
    <w:rsid w:val="00164EC6"/>
    <w:rsid w:val="00165381"/>
    <w:rsid w:val="00172562"/>
    <w:rsid w:val="001814DB"/>
    <w:rsid w:val="00182A2A"/>
    <w:rsid w:val="00190C5B"/>
    <w:rsid w:val="00192FF5"/>
    <w:rsid w:val="00193FA9"/>
    <w:rsid w:val="001A001E"/>
    <w:rsid w:val="001A0F83"/>
    <w:rsid w:val="001A44C4"/>
    <w:rsid w:val="001B1E68"/>
    <w:rsid w:val="001B4532"/>
    <w:rsid w:val="001B5ED6"/>
    <w:rsid w:val="001B72C1"/>
    <w:rsid w:val="001D07EA"/>
    <w:rsid w:val="001D7BB9"/>
    <w:rsid w:val="001E0974"/>
    <w:rsid w:val="001E5550"/>
    <w:rsid w:val="001E6A5A"/>
    <w:rsid w:val="001F5983"/>
    <w:rsid w:val="001F7B8E"/>
    <w:rsid w:val="00200C5A"/>
    <w:rsid w:val="0021504E"/>
    <w:rsid w:val="00221323"/>
    <w:rsid w:val="002235C4"/>
    <w:rsid w:val="00227779"/>
    <w:rsid w:val="00230374"/>
    <w:rsid w:val="0024438C"/>
    <w:rsid w:val="00255A2F"/>
    <w:rsid w:val="00256A6F"/>
    <w:rsid w:val="00263DE9"/>
    <w:rsid w:val="00273DD6"/>
    <w:rsid w:val="00275D58"/>
    <w:rsid w:val="0028153F"/>
    <w:rsid w:val="002825BC"/>
    <w:rsid w:val="00295886"/>
    <w:rsid w:val="002A4B4C"/>
    <w:rsid w:val="002B3A49"/>
    <w:rsid w:val="002B452C"/>
    <w:rsid w:val="002B4F4F"/>
    <w:rsid w:val="002C238F"/>
    <w:rsid w:val="002D7A26"/>
    <w:rsid w:val="002E159D"/>
    <w:rsid w:val="002E7582"/>
    <w:rsid w:val="002F0E31"/>
    <w:rsid w:val="00304D3A"/>
    <w:rsid w:val="00305750"/>
    <w:rsid w:val="00306ACC"/>
    <w:rsid w:val="00307FD2"/>
    <w:rsid w:val="0031587C"/>
    <w:rsid w:val="00321599"/>
    <w:rsid w:val="00325B6F"/>
    <w:rsid w:val="00333F82"/>
    <w:rsid w:val="00340ED7"/>
    <w:rsid w:val="00343502"/>
    <w:rsid w:val="00355882"/>
    <w:rsid w:val="00363921"/>
    <w:rsid w:val="00372E94"/>
    <w:rsid w:val="00374497"/>
    <w:rsid w:val="0037541B"/>
    <w:rsid w:val="00377AE6"/>
    <w:rsid w:val="003A0DAE"/>
    <w:rsid w:val="003A3C17"/>
    <w:rsid w:val="003A64F7"/>
    <w:rsid w:val="003B08C6"/>
    <w:rsid w:val="003B7634"/>
    <w:rsid w:val="003B7AA9"/>
    <w:rsid w:val="003C2D7C"/>
    <w:rsid w:val="003C331C"/>
    <w:rsid w:val="003C4249"/>
    <w:rsid w:val="003C5753"/>
    <w:rsid w:val="003D18E2"/>
    <w:rsid w:val="003D4C6F"/>
    <w:rsid w:val="003E2A42"/>
    <w:rsid w:val="003E704D"/>
    <w:rsid w:val="003F4038"/>
    <w:rsid w:val="003F4618"/>
    <w:rsid w:val="00411DF4"/>
    <w:rsid w:val="00413437"/>
    <w:rsid w:val="004142AF"/>
    <w:rsid w:val="00416E74"/>
    <w:rsid w:val="00430CDF"/>
    <w:rsid w:val="0044732D"/>
    <w:rsid w:val="00452D9A"/>
    <w:rsid w:val="00453C92"/>
    <w:rsid w:val="00457DEE"/>
    <w:rsid w:val="0046629C"/>
    <w:rsid w:val="004819E3"/>
    <w:rsid w:val="00481AB7"/>
    <w:rsid w:val="00484C2C"/>
    <w:rsid w:val="0048632A"/>
    <w:rsid w:val="00486BDB"/>
    <w:rsid w:val="00493C7B"/>
    <w:rsid w:val="004A55F9"/>
    <w:rsid w:val="004A5D9F"/>
    <w:rsid w:val="004A60D0"/>
    <w:rsid w:val="004B1297"/>
    <w:rsid w:val="004E201D"/>
    <w:rsid w:val="004E4B8F"/>
    <w:rsid w:val="004E6EE6"/>
    <w:rsid w:val="004F75F2"/>
    <w:rsid w:val="00504BF0"/>
    <w:rsid w:val="00513555"/>
    <w:rsid w:val="005151FC"/>
    <w:rsid w:val="00516C94"/>
    <w:rsid w:val="005178DA"/>
    <w:rsid w:val="00535384"/>
    <w:rsid w:val="0053775C"/>
    <w:rsid w:val="00537A45"/>
    <w:rsid w:val="005528CB"/>
    <w:rsid w:val="005549A4"/>
    <w:rsid w:val="00555815"/>
    <w:rsid w:val="0056646F"/>
    <w:rsid w:val="00567770"/>
    <w:rsid w:val="00571FBD"/>
    <w:rsid w:val="00580683"/>
    <w:rsid w:val="005822F1"/>
    <w:rsid w:val="0059120B"/>
    <w:rsid w:val="005A0443"/>
    <w:rsid w:val="005A2912"/>
    <w:rsid w:val="005A5D3F"/>
    <w:rsid w:val="005A6B67"/>
    <w:rsid w:val="005B71B1"/>
    <w:rsid w:val="005C1431"/>
    <w:rsid w:val="005C1DA5"/>
    <w:rsid w:val="005C6C30"/>
    <w:rsid w:val="005D1C5C"/>
    <w:rsid w:val="005D3716"/>
    <w:rsid w:val="005D4144"/>
    <w:rsid w:val="005D6439"/>
    <w:rsid w:val="005E09BE"/>
    <w:rsid w:val="005E37E2"/>
    <w:rsid w:val="005F4763"/>
    <w:rsid w:val="00610175"/>
    <w:rsid w:val="00626ECF"/>
    <w:rsid w:val="006424EA"/>
    <w:rsid w:val="0064394D"/>
    <w:rsid w:val="0064742E"/>
    <w:rsid w:val="0067267C"/>
    <w:rsid w:val="00685A64"/>
    <w:rsid w:val="00697E67"/>
    <w:rsid w:val="006A38F9"/>
    <w:rsid w:val="006D2166"/>
    <w:rsid w:val="006D63AF"/>
    <w:rsid w:val="006D7501"/>
    <w:rsid w:val="006E1273"/>
    <w:rsid w:val="006E1903"/>
    <w:rsid w:val="006E293D"/>
    <w:rsid w:val="006F2340"/>
    <w:rsid w:val="006F39B2"/>
    <w:rsid w:val="00700BDC"/>
    <w:rsid w:val="007039F2"/>
    <w:rsid w:val="00714CEF"/>
    <w:rsid w:val="00722954"/>
    <w:rsid w:val="007347EC"/>
    <w:rsid w:val="00741704"/>
    <w:rsid w:val="00745189"/>
    <w:rsid w:val="00775183"/>
    <w:rsid w:val="00783366"/>
    <w:rsid w:val="00790E14"/>
    <w:rsid w:val="00793636"/>
    <w:rsid w:val="007971DC"/>
    <w:rsid w:val="0079754C"/>
    <w:rsid w:val="007A2272"/>
    <w:rsid w:val="007A4B9E"/>
    <w:rsid w:val="007B40C5"/>
    <w:rsid w:val="007C15BC"/>
    <w:rsid w:val="007C3366"/>
    <w:rsid w:val="007C4944"/>
    <w:rsid w:val="007C779B"/>
    <w:rsid w:val="007D1BC0"/>
    <w:rsid w:val="007D7AB6"/>
    <w:rsid w:val="007E5625"/>
    <w:rsid w:val="007F1828"/>
    <w:rsid w:val="007F3B91"/>
    <w:rsid w:val="00803C3C"/>
    <w:rsid w:val="00806244"/>
    <w:rsid w:val="00813822"/>
    <w:rsid w:val="0082113A"/>
    <w:rsid w:val="00822289"/>
    <w:rsid w:val="00822D0D"/>
    <w:rsid w:val="00823B63"/>
    <w:rsid w:val="008346FD"/>
    <w:rsid w:val="008356D5"/>
    <w:rsid w:val="00845250"/>
    <w:rsid w:val="00851B2D"/>
    <w:rsid w:val="00883A7E"/>
    <w:rsid w:val="00893CA6"/>
    <w:rsid w:val="008A4F36"/>
    <w:rsid w:val="008A7DB5"/>
    <w:rsid w:val="008A7E95"/>
    <w:rsid w:val="008B38F3"/>
    <w:rsid w:val="008B49A9"/>
    <w:rsid w:val="008B5B82"/>
    <w:rsid w:val="008C031E"/>
    <w:rsid w:val="008C2693"/>
    <w:rsid w:val="008C3E9A"/>
    <w:rsid w:val="008C53C3"/>
    <w:rsid w:val="008C5E39"/>
    <w:rsid w:val="008D6CE0"/>
    <w:rsid w:val="008E0C26"/>
    <w:rsid w:val="008E78C6"/>
    <w:rsid w:val="008F264B"/>
    <w:rsid w:val="00902450"/>
    <w:rsid w:val="00903671"/>
    <w:rsid w:val="00906C11"/>
    <w:rsid w:val="00920ABE"/>
    <w:rsid w:val="009304B8"/>
    <w:rsid w:val="009323F8"/>
    <w:rsid w:val="00933AE2"/>
    <w:rsid w:val="00934BEC"/>
    <w:rsid w:val="009351BE"/>
    <w:rsid w:val="009477A3"/>
    <w:rsid w:val="00951A0E"/>
    <w:rsid w:val="00951B1D"/>
    <w:rsid w:val="0095608A"/>
    <w:rsid w:val="009606C6"/>
    <w:rsid w:val="00972C01"/>
    <w:rsid w:val="00991CAB"/>
    <w:rsid w:val="00993EF6"/>
    <w:rsid w:val="00996A3E"/>
    <w:rsid w:val="009C07ED"/>
    <w:rsid w:val="009C2085"/>
    <w:rsid w:val="009C2956"/>
    <w:rsid w:val="009C4A7E"/>
    <w:rsid w:val="009D2490"/>
    <w:rsid w:val="009D7337"/>
    <w:rsid w:val="009E1BFF"/>
    <w:rsid w:val="009E570D"/>
    <w:rsid w:val="009E5BFB"/>
    <w:rsid w:val="009F07EB"/>
    <w:rsid w:val="00A01D6B"/>
    <w:rsid w:val="00A02103"/>
    <w:rsid w:val="00A13621"/>
    <w:rsid w:val="00A166DF"/>
    <w:rsid w:val="00A21C7A"/>
    <w:rsid w:val="00A25BBD"/>
    <w:rsid w:val="00A3304B"/>
    <w:rsid w:val="00A52991"/>
    <w:rsid w:val="00A84284"/>
    <w:rsid w:val="00A84F8B"/>
    <w:rsid w:val="00A90DE7"/>
    <w:rsid w:val="00AB2BC0"/>
    <w:rsid w:val="00AB5315"/>
    <w:rsid w:val="00AB5698"/>
    <w:rsid w:val="00AC4067"/>
    <w:rsid w:val="00AD5815"/>
    <w:rsid w:val="00AE41B9"/>
    <w:rsid w:val="00AF4EA5"/>
    <w:rsid w:val="00B05C96"/>
    <w:rsid w:val="00B16FD4"/>
    <w:rsid w:val="00B23F4F"/>
    <w:rsid w:val="00B35B13"/>
    <w:rsid w:val="00B4008C"/>
    <w:rsid w:val="00B44A9E"/>
    <w:rsid w:val="00B50C84"/>
    <w:rsid w:val="00B536CD"/>
    <w:rsid w:val="00B56400"/>
    <w:rsid w:val="00B67442"/>
    <w:rsid w:val="00B7245B"/>
    <w:rsid w:val="00B7270C"/>
    <w:rsid w:val="00B8204F"/>
    <w:rsid w:val="00B8420E"/>
    <w:rsid w:val="00B94F02"/>
    <w:rsid w:val="00B97807"/>
    <w:rsid w:val="00BA0211"/>
    <w:rsid w:val="00BA655E"/>
    <w:rsid w:val="00BB4E27"/>
    <w:rsid w:val="00BC66B4"/>
    <w:rsid w:val="00BC70E3"/>
    <w:rsid w:val="00BD3F79"/>
    <w:rsid w:val="00BD68C6"/>
    <w:rsid w:val="00BE07D5"/>
    <w:rsid w:val="00C0256C"/>
    <w:rsid w:val="00C043D1"/>
    <w:rsid w:val="00C108A7"/>
    <w:rsid w:val="00C126CC"/>
    <w:rsid w:val="00C14699"/>
    <w:rsid w:val="00C231E3"/>
    <w:rsid w:val="00C23C29"/>
    <w:rsid w:val="00C2566B"/>
    <w:rsid w:val="00C259CC"/>
    <w:rsid w:val="00C270BF"/>
    <w:rsid w:val="00C46165"/>
    <w:rsid w:val="00C5539E"/>
    <w:rsid w:val="00C83D2A"/>
    <w:rsid w:val="00C84621"/>
    <w:rsid w:val="00C86925"/>
    <w:rsid w:val="00C900CD"/>
    <w:rsid w:val="00C90432"/>
    <w:rsid w:val="00C93DB5"/>
    <w:rsid w:val="00C949E6"/>
    <w:rsid w:val="00C956F9"/>
    <w:rsid w:val="00CA4A2F"/>
    <w:rsid w:val="00CA7E2D"/>
    <w:rsid w:val="00CB73A2"/>
    <w:rsid w:val="00CB7F2F"/>
    <w:rsid w:val="00CC36F3"/>
    <w:rsid w:val="00CC5F60"/>
    <w:rsid w:val="00CE1DFC"/>
    <w:rsid w:val="00CE7E80"/>
    <w:rsid w:val="00D01AB6"/>
    <w:rsid w:val="00D0302E"/>
    <w:rsid w:val="00D25617"/>
    <w:rsid w:val="00D44368"/>
    <w:rsid w:val="00D464B4"/>
    <w:rsid w:val="00D4715F"/>
    <w:rsid w:val="00D53487"/>
    <w:rsid w:val="00D60CE9"/>
    <w:rsid w:val="00D61AA1"/>
    <w:rsid w:val="00D6630F"/>
    <w:rsid w:val="00D72B9D"/>
    <w:rsid w:val="00D72C53"/>
    <w:rsid w:val="00D8352F"/>
    <w:rsid w:val="00D85D44"/>
    <w:rsid w:val="00D85E16"/>
    <w:rsid w:val="00D978A0"/>
    <w:rsid w:val="00DA0CFA"/>
    <w:rsid w:val="00DB06A3"/>
    <w:rsid w:val="00DB0F41"/>
    <w:rsid w:val="00DD79A4"/>
    <w:rsid w:val="00DE4836"/>
    <w:rsid w:val="00DF0EDF"/>
    <w:rsid w:val="00DF3952"/>
    <w:rsid w:val="00E2013E"/>
    <w:rsid w:val="00E2663E"/>
    <w:rsid w:val="00E26C04"/>
    <w:rsid w:val="00E41043"/>
    <w:rsid w:val="00E41C9C"/>
    <w:rsid w:val="00E44EA0"/>
    <w:rsid w:val="00E50B4D"/>
    <w:rsid w:val="00E52180"/>
    <w:rsid w:val="00E5672D"/>
    <w:rsid w:val="00E62E76"/>
    <w:rsid w:val="00E63FDB"/>
    <w:rsid w:val="00E67473"/>
    <w:rsid w:val="00E70258"/>
    <w:rsid w:val="00E719A5"/>
    <w:rsid w:val="00E81F07"/>
    <w:rsid w:val="00E84C17"/>
    <w:rsid w:val="00E91969"/>
    <w:rsid w:val="00E9389B"/>
    <w:rsid w:val="00EA75FF"/>
    <w:rsid w:val="00EC6E81"/>
    <w:rsid w:val="00EF02D3"/>
    <w:rsid w:val="00EF7F88"/>
    <w:rsid w:val="00F00CFF"/>
    <w:rsid w:val="00F0134F"/>
    <w:rsid w:val="00F01556"/>
    <w:rsid w:val="00F015BD"/>
    <w:rsid w:val="00F02AD5"/>
    <w:rsid w:val="00F049F7"/>
    <w:rsid w:val="00F05356"/>
    <w:rsid w:val="00F05FE1"/>
    <w:rsid w:val="00F079C2"/>
    <w:rsid w:val="00F1296A"/>
    <w:rsid w:val="00F13CEF"/>
    <w:rsid w:val="00F24897"/>
    <w:rsid w:val="00F37E82"/>
    <w:rsid w:val="00F429AA"/>
    <w:rsid w:val="00F5141D"/>
    <w:rsid w:val="00F53052"/>
    <w:rsid w:val="00F55AC8"/>
    <w:rsid w:val="00F57233"/>
    <w:rsid w:val="00F65087"/>
    <w:rsid w:val="00F7301C"/>
    <w:rsid w:val="00F84931"/>
    <w:rsid w:val="00F874BB"/>
    <w:rsid w:val="00F87F70"/>
    <w:rsid w:val="00F918DB"/>
    <w:rsid w:val="00F9254E"/>
    <w:rsid w:val="00F94F4E"/>
    <w:rsid w:val="00FA3118"/>
    <w:rsid w:val="00FA5374"/>
    <w:rsid w:val="00FC73EE"/>
    <w:rsid w:val="00FD709B"/>
    <w:rsid w:val="00FE0940"/>
    <w:rsid w:val="00FE6B62"/>
    <w:rsid w:val="00FF25E5"/>
    <w:rsid w:val="00FF5FD5"/>
    <w:rsid w:val="00FF6033"/>
    <w:rsid w:val="03322F23"/>
    <w:rsid w:val="0A4C03D3"/>
    <w:rsid w:val="0BF95F4A"/>
    <w:rsid w:val="0CCA7FDD"/>
    <w:rsid w:val="2E23D0D2"/>
    <w:rsid w:val="36A2EDF2"/>
    <w:rsid w:val="392AC691"/>
    <w:rsid w:val="52C0B8FD"/>
    <w:rsid w:val="645F8387"/>
    <w:rsid w:val="67CA95BA"/>
    <w:rsid w:val="70E66A31"/>
    <w:rsid w:val="72CA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0C6460"/>
  <w15:docId w15:val="{6446C466-1D06-4AA9-A43D-21F24468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7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E9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BC66B4"/>
    <w:pPr>
      <w:widowControl/>
      <w:spacing w:after="0" w:line="240" w:lineRule="auto"/>
      <w:ind w:left="1440" w:hanging="144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C66B4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2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323"/>
  </w:style>
  <w:style w:type="paragraph" w:styleId="Footer">
    <w:name w:val="footer"/>
    <w:basedOn w:val="Normal"/>
    <w:link w:val="FooterChar"/>
    <w:uiPriority w:val="99"/>
    <w:unhideWhenUsed/>
    <w:rsid w:val="002213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323"/>
  </w:style>
  <w:style w:type="paragraph" w:customStyle="1" w:styleId="Default">
    <w:name w:val="Default"/>
    <w:rsid w:val="003C4249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E09BE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customStyle="1" w:styleId="TableGrid0">
    <w:name w:val="TableGrid"/>
    <w:rsid w:val="00452D9A"/>
    <w:pPr>
      <w:widowControl/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A166D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6D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25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25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25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5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5E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16E74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81F07"/>
    <w:pPr>
      <w:widowControl/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D6CE0"/>
    <w:pPr>
      <w:widowControl/>
      <w:spacing w:after="0" w:line="240" w:lineRule="auto"/>
      <w:ind w:left="720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D85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85D44"/>
  </w:style>
  <w:style w:type="character" w:customStyle="1" w:styleId="spellingerror">
    <w:name w:val="spellingerror"/>
    <w:basedOn w:val="DefaultParagraphFont"/>
    <w:rsid w:val="00D85D44"/>
  </w:style>
  <w:style w:type="character" w:customStyle="1" w:styleId="eop">
    <w:name w:val="eop"/>
    <w:basedOn w:val="DefaultParagraphFont"/>
    <w:rsid w:val="00D85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0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CCAAE3D7E2B4BA2C9BEF226C0DFE7" ma:contentTypeVersion="14" ma:contentTypeDescription="Create a new document." ma:contentTypeScope="" ma:versionID="70de50f84b08bfd8f949c8a3e2d7d469">
  <xsd:schema xmlns:xsd="http://www.w3.org/2001/XMLSchema" xmlns:xs="http://www.w3.org/2001/XMLSchema" xmlns:p="http://schemas.microsoft.com/office/2006/metadata/properties" xmlns:ns1="http://schemas.microsoft.com/sharepoint/v3" xmlns:ns3="fbd75b59-e004-4ff8-9529-f0e5385aaad4" xmlns:ns4="826c830a-bd9a-4134-9ff1-cf35e93d01e9" targetNamespace="http://schemas.microsoft.com/office/2006/metadata/properties" ma:root="true" ma:fieldsID="ae7524fe668cac7fc48a437204013900" ns1:_="" ns3:_="" ns4:_="">
    <xsd:import namespace="http://schemas.microsoft.com/sharepoint/v3"/>
    <xsd:import namespace="fbd75b59-e004-4ff8-9529-f0e5385aaad4"/>
    <xsd:import namespace="826c830a-bd9a-4134-9ff1-cf35e93d0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75b59-e004-4ff8-9529-f0e5385aa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c830a-bd9a-4134-9ff1-cf35e93d0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545D-1B4F-474C-B0ED-518F64879C67}">
  <ds:schemaRefs>
    <ds:schemaRef ds:uri="http://purl.org/dc/elements/1.1/"/>
    <ds:schemaRef ds:uri="http://schemas.microsoft.com/office/2006/metadata/properties"/>
    <ds:schemaRef ds:uri="fbd75b59-e004-4ff8-9529-f0e5385aaad4"/>
    <ds:schemaRef ds:uri="http://schemas.microsoft.com/sharepoint/v3"/>
    <ds:schemaRef ds:uri="http://purl.org/dc/terms/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994B428-C354-4E9D-ADAC-8C0EA082A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bd75b59-e004-4ff8-9529-f0e5385aaad4"/>
    <ds:schemaRef ds:uri="826c830a-bd9a-4134-9ff1-cf35e93d0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B2D4F2-F0CF-4CC0-AEA9-69F77CD447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856F62-F94A-41AD-A072-704DED47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alimerick@nccommerce.com</dc:creator>
  <cp:lastModifiedBy>German, Berlina Y</cp:lastModifiedBy>
  <cp:revision>2</cp:revision>
  <cp:lastPrinted>2020-01-15T13:39:00Z</cp:lastPrinted>
  <dcterms:created xsi:type="dcterms:W3CDTF">2022-12-21T19:22:00Z</dcterms:created>
  <dcterms:modified xsi:type="dcterms:W3CDTF">2022-12-21T19:22:00Z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2013-02-27T00:00:00Z</vt:filetime>
  </property>
  <property fmtid="{D5CDD505-2E9C-101B-9397-08002B2CF9AE}" pid="3" name="LastSaved">
    <vt:filetime>2013-02-28T00:00:00Z</vt:filetime>
  </property>
  <property fmtid="{D5CDD505-2E9C-101B-9397-08002B2CF9AE}" pid="4" name="ContentTypeId">
    <vt:lpwstr>0x010100210CCAAE3D7E2B4BA2C9BEF226C0DFE7</vt:lpwstr>
  </property>
</Properties>
</file>