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B5E328" w14:textId="77777777" w:rsidR="00115F70" w:rsidRDefault="00115F70" w:rsidP="00B40190">
      <w:pPr>
        <w:tabs>
          <w:tab w:val="left" w:pos="1710"/>
          <w:tab w:val="left" w:pos="1800"/>
        </w:tabs>
        <w:spacing w:before="9" w:after="0" w:line="80" w:lineRule="exact"/>
        <w:rPr>
          <w:sz w:val="8"/>
          <w:szCs w:val="8"/>
        </w:rPr>
      </w:pPr>
    </w:p>
    <w:tbl>
      <w:tblPr>
        <w:tblW w:w="9775" w:type="dxa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58"/>
        <w:gridCol w:w="6717"/>
      </w:tblGrid>
      <w:tr w:rsidR="00115F70" w14:paraId="16CB6D17" w14:textId="77777777" w:rsidTr="00610D04">
        <w:trPr>
          <w:trHeight w:hRule="exact" w:val="751"/>
        </w:trPr>
        <w:tc>
          <w:tcPr>
            <w:tcW w:w="3058" w:type="dxa"/>
            <w:vMerge w:val="restart"/>
            <w:tcBorders>
              <w:top w:val="single" w:sz="13" w:space="0" w:color="000000" w:themeColor="text1"/>
              <w:left w:val="single" w:sz="18" w:space="0" w:color="auto"/>
              <w:right w:val="single" w:sz="12" w:space="0" w:color="000000" w:themeColor="text1"/>
            </w:tcBorders>
          </w:tcPr>
          <w:p w14:paraId="77D86C5D" w14:textId="77777777" w:rsidR="00115F70" w:rsidRDefault="00115F70">
            <w:pPr>
              <w:spacing w:after="0" w:line="200" w:lineRule="exact"/>
              <w:rPr>
                <w:sz w:val="20"/>
                <w:szCs w:val="20"/>
              </w:rPr>
            </w:pPr>
          </w:p>
          <w:p w14:paraId="44C22F22" w14:textId="77777777" w:rsidR="00115F70" w:rsidRDefault="00115F70">
            <w:pPr>
              <w:spacing w:before="10" w:after="0" w:line="200" w:lineRule="exact"/>
              <w:rPr>
                <w:sz w:val="20"/>
                <w:szCs w:val="20"/>
              </w:rPr>
            </w:pPr>
          </w:p>
          <w:p w14:paraId="68971539" w14:textId="77777777" w:rsidR="00115F70" w:rsidRDefault="00115F70">
            <w:pPr>
              <w:spacing w:after="0" w:line="240" w:lineRule="auto"/>
              <w:ind w:left="42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7161ECD" w14:textId="77777777" w:rsidR="00115F70" w:rsidRDefault="003D4C6F">
            <w:pPr>
              <w:spacing w:after="0" w:line="200" w:lineRule="exact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AF47B8D" wp14:editId="503496E1">
                  <wp:simplePos x="0" y="0"/>
                  <wp:positionH relativeFrom="column">
                    <wp:posOffset>265430</wp:posOffset>
                  </wp:positionH>
                  <wp:positionV relativeFrom="paragraph">
                    <wp:posOffset>72390</wp:posOffset>
                  </wp:positionV>
                  <wp:extent cx="1399540" cy="1375410"/>
                  <wp:effectExtent l="0" t="0" r="0" b="0"/>
                  <wp:wrapTight wrapText="bothSides">
                    <wp:wrapPolygon edited="0">
                      <wp:start x="0" y="0"/>
                      <wp:lineTo x="0" y="21241"/>
                      <wp:lineTo x="21169" y="21241"/>
                      <wp:lineTo x="21169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9540" cy="1375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6A851F2" w14:textId="77777777" w:rsidR="00115F70" w:rsidRDefault="00115F70">
            <w:pPr>
              <w:spacing w:before="16" w:after="0" w:line="200" w:lineRule="exact"/>
              <w:rPr>
                <w:sz w:val="20"/>
                <w:szCs w:val="20"/>
              </w:rPr>
            </w:pPr>
          </w:p>
        </w:tc>
        <w:tc>
          <w:tcPr>
            <w:tcW w:w="6717" w:type="dxa"/>
            <w:tcBorders>
              <w:top w:val="single" w:sz="13" w:space="0" w:color="000000" w:themeColor="text1"/>
              <w:left w:val="single" w:sz="12" w:space="0" w:color="000000" w:themeColor="text1"/>
              <w:bottom w:val="single" w:sz="13" w:space="0" w:color="000000" w:themeColor="text1"/>
              <w:right w:val="single" w:sz="12" w:space="0" w:color="000000" w:themeColor="text1"/>
            </w:tcBorders>
          </w:tcPr>
          <w:p w14:paraId="325CA8F3" w14:textId="77777777" w:rsidR="00115F70" w:rsidRPr="00A90DE7" w:rsidRDefault="00115F70">
            <w:pPr>
              <w:spacing w:before="5" w:after="0" w:line="110" w:lineRule="exact"/>
            </w:pPr>
          </w:p>
          <w:p w14:paraId="27CA4BD2" w14:textId="54AD1736" w:rsidR="00115F70" w:rsidRPr="0002750A" w:rsidRDefault="00E8236F" w:rsidP="00E8236F">
            <w:pPr>
              <w:spacing w:after="0" w:line="240" w:lineRule="auto"/>
              <w:ind w:left="93" w:right="22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8236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NCWorks Commission</w:t>
            </w:r>
          </w:p>
        </w:tc>
      </w:tr>
      <w:tr w:rsidR="00115F70" w14:paraId="495927B7" w14:textId="77777777" w:rsidTr="00610D04">
        <w:trPr>
          <w:trHeight w:hRule="exact" w:val="386"/>
        </w:trPr>
        <w:tc>
          <w:tcPr>
            <w:tcW w:w="3058" w:type="dxa"/>
            <w:vMerge/>
            <w:tcBorders>
              <w:left w:val="single" w:sz="18" w:space="0" w:color="auto"/>
            </w:tcBorders>
          </w:tcPr>
          <w:p w14:paraId="1524CEDE" w14:textId="77777777" w:rsidR="00115F70" w:rsidRDefault="00115F70"/>
        </w:tc>
        <w:tc>
          <w:tcPr>
            <w:tcW w:w="6717" w:type="dxa"/>
            <w:tcBorders>
              <w:top w:val="single" w:sz="13" w:space="0" w:color="000000" w:themeColor="text1"/>
              <w:left w:val="single" w:sz="12" w:space="0" w:color="000000" w:themeColor="text1"/>
              <w:bottom w:val="single" w:sz="13" w:space="0" w:color="000000" w:themeColor="text1"/>
              <w:right w:val="single" w:sz="12" w:space="0" w:color="000000" w:themeColor="text1"/>
            </w:tcBorders>
          </w:tcPr>
          <w:p w14:paraId="4020E760" w14:textId="5B2E78BD" w:rsidR="00115F70" w:rsidRPr="005D0EDE" w:rsidRDefault="77D187AE" w:rsidP="008E0C26">
            <w:pPr>
              <w:spacing w:before="13" w:after="0" w:line="240" w:lineRule="auto"/>
              <w:ind w:left="9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ED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Commission </w:t>
            </w:r>
            <w:r w:rsidR="009477A3" w:rsidRPr="005D0ED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</w:t>
            </w:r>
            <w:r w:rsidR="009477A3" w:rsidRPr="005D0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olicy Statement Number</w:t>
            </w:r>
            <w:r w:rsidR="00F9254E" w:rsidRPr="005D0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F9254E" w:rsidRPr="005D0ED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CP</w:t>
            </w:r>
            <w:r w:rsidR="00F9254E" w:rsidRPr="005D0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4F6B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5213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06</w:t>
            </w:r>
            <w:r w:rsidR="004F6B5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-20</w:t>
            </w:r>
            <w:r w:rsidR="00383A80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21</w:t>
            </w:r>
            <w:r w:rsidR="0076585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, Change 1</w:t>
            </w:r>
          </w:p>
        </w:tc>
      </w:tr>
      <w:tr w:rsidR="00115F70" w14:paraId="21BB6730" w14:textId="77777777" w:rsidTr="00610D04">
        <w:trPr>
          <w:trHeight w:hRule="exact" w:val="389"/>
        </w:trPr>
        <w:tc>
          <w:tcPr>
            <w:tcW w:w="3058" w:type="dxa"/>
            <w:vMerge/>
            <w:tcBorders>
              <w:left w:val="single" w:sz="18" w:space="0" w:color="auto"/>
            </w:tcBorders>
          </w:tcPr>
          <w:p w14:paraId="7C556926" w14:textId="77777777" w:rsidR="00115F70" w:rsidRDefault="00115F70"/>
        </w:tc>
        <w:tc>
          <w:tcPr>
            <w:tcW w:w="6717" w:type="dxa"/>
            <w:tcBorders>
              <w:top w:val="single" w:sz="13" w:space="0" w:color="000000" w:themeColor="text1"/>
              <w:left w:val="single" w:sz="12" w:space="0" w:color="000000" w:themeColor="text1"/>
              <w:bottom w:val="single" w:sz="13" w:space="0" w:color="000000" w:themeColor="text1"/>
              <w:right w:val="single" w:sz="12" w:space="0" w:color="000000" w:themeColor="text1"/>
            </w:tcBorders>
          </w:tcPr>
          <w:p w14:paraId="73AFD68E" w14:textId="418E7597" w:rsidR="00115F70" w:rsidRPr="005D0EDE" w:rsidRDefault="00F9254E" w:rsidP="00221323">
            <w:pPr>
              <w:spacing w:before="50" w:after="0" w:line="240" w:lineRule="auto"/>
              <w:ind w:left="93" w:right="-20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5D0ED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D</w:t>
            </w:r>
            <w:r w:rsidRPr="005D0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5D0EDE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 w:rsidRPr="005D0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e:</w:t>
            </w:r>
            <w:r w:rsidRPr="005D0EDE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="00E16DA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="00652F2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August 10</w:t>
            </w:r>
            <w:r w:rsidR="00610D04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, </w:t>
            </w:r>
            <w:r w:rsidR="0076585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2022</w:t>
            </w:r>
          </w:p>
          <w:p w14:paraId="3BC6FA40" w14:textId="77777777" w:rsidR="00221323" w:rsidRPr="00A90DE7" w:rsidRDefault="00221323" w:rsidP="00221323">
            <w:pPr>
              <w:spacing w:before="50" w:after="0" w:line="240" w:lineRule="auto"/>
              <w:ind w:left="93" w:right="-20"/>
              <w:rPr>
                <w:rFonts w:ascii="Times New Roman" w:eastAsia="Times New Roman" w:hAnsi="Times New Roman" w:cs="Times New Roman"/>
                <w:b/>
                <w:bCs/>
                <w:spacing w:val="-1"/>
              </w:rPr>
            </w:pPr>
          </w:p>
          <w:p w14:paraId="5B7B3C0B" w14:textId="77777777" w:rsidR="00221323" w:rsidRPr="00A90DE7" w:rsidRDefault="00221323" w:rsidP="00221323">
            <w:pPr>
              <w:spacing w:before="50" w:after="0" w:line="240" w:lineRule="auto"/>
              <w:ind w:left="93" w:right="-20"/>
              <w:rPr>
                <w:rFonts w:ascii="Times New Roman" w:eastAsia="Times New Roman" w:hAnsi="Times New Roman" w:cs="Times New Roman"/>
              </w:rPr>
            </w:pPr>
          </w:p>
        </w:tc>
      </w:tr>
      <w:tr w:rsidR="00115F70" w14:paraId="6ED36417" w14:textId="77777777" w:rsidTr="00610D04">
        <w:trPr>
          <w:trHeight w:hRule="exact" w:val="842"/>
        </w:trPr>
        <w:tc>
          <w:tcPr>
            <w:tcW w:w="3058" w:type="dxa"/>
            <w:vMerge/>
            <w:tcBorders>
              <w:left w:val="single" w:sz="18" w:space="0" w:color="auto"/>
            </w:tcBorders>
          </w:tcPr>
          <w:p w14:paraId="2D725336" w14:textId="77777777" w:rsidR="00115F70" w:rsidRDefault="00115F70"/>
        </w:tc>
        <w:tc>
          <w:tcPr>
            <w:tcW w:w="6717" w:type="dxa"/>
            <w:tcBorders>
              <w:top w:val="single" w:sz="13" w:space="0" w:color="000000" w:themeColor="text1"/>
              <w:left w:val="single" w:sz="12" w:space="0" w:color="000000" w:themeColor="text1"/>
              <w:bottom w:val="single" w:sz="13" w:space="0" w:color="000000" w:themeColor="text1"/>
              <w:right w:val="single" w:sz="12" w:space="0" w:color="000000" w:themeColor="text1"/>
            </w:tcBorders>
          </w:tcPr>
          <w:p w14:paraId="0F4540CB" w14:textId="5D7DC3DA" w:rsidR="003C4249" w:rsidRPr="003F4618" w:rsidRDefault="00F9254E" w:rsidP="001A3365">
            <w:pPr>
              <w:spacing w:before="53" w:after="0" w:line="240" w:lineRule="auto"/>
              <w:ind w:left="93" w:right="-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0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Sub</w:t>
            </w:r>
            <w:r w:rsidRPr="005D0EDE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j</w:t>
            </w:r>
            <w:r w:rsidRPr="005D0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5D0EDE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c</w:t>
            </w:r>
            <w:r w:rsidRPr="005D0EDE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 w:rsidRPr="005D0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5D0EDE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="00BA6532" w:rsidRPr="005D0EDE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Guidelines for North Carolina NCWorks Career</w:t>
            </w:r>
            <w:r w:rsidR="00CC0EE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br/>
              <w:t xml:space="preserve">                Center</w:t>
            </w:r>
            <w:r w:rsidR="00BA6532" w:rsidRPr="005D0EDE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="00E46E28" w:rsidRPr="005D0EDE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Code</w:t>
            </w:r>
            <w:r w:rsidR="005D0EDE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="00E46E28" w:rsidRPr="005D0EDE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of Conduct Violations</w:t>
            </w:r>
            <w:r w:rsidR="00E16DAA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br/>
            </w:r>
          </w:p>
        </w:tc>
      </w:tr>
      <w:tr w:rsidR="00C043D1" w14:paraId="64EF4355" w14:textId="77777777" w:rsidTr="00610D04">
        <w:trPr>
          <w:trHeight w:hRule="exact" w:val="1364"/>
        </w:trPr>
        <w:tc>
          <w:tcPr>
            <w:tcW w:w="305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3EB3B6F9" w14:textId="77777777" w:rsidR="00C043D1" w:rsidRDefault="00C043D1"/>
        </w:tc>
        <w:tc>
          <w:tcPr>
            <w:tcW w:w="6717" w:type="dxa"/>
            <w:tcBorders>
              <w:top w:val="single" w:sz="13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F7F4899" w14:textId="06B78CAA" w:rsidR="00DE4836" w:rsidRPr="009A4468" w:rsidRDefault="00C043D1" w:rsidP="00DE4836">
            <w:pPr>
              <w:tabs>
                <w:tab w:val="left" w:pos="4307"/>
              </w:tabs>
              <w:spacing w:after="0" w:line="240" w:lineRule="auto"/>
              <w:rPr>
                <w:b/>
                <w:bCs/>
                <w:noProof/>
                <w:color w:val="FF0000"/>
                <w:sz w:val="24"/>
                <w:szCs w:val="24"/>
              </w:rPr>
            </w:pPr>
            <w:r w:rsidRPr="00C043D1">
              <w:rPr>
                <w:noProof/>
              </w:rPr>
              <w:t xml:space="preserve">  </w:t>
            </w:r>
            <w:r w:rsidRPr="005D0EDE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From</w:t>
            </w:r>
            <w:r w:rsidRPr="005D0EDE">
              <w:rPr>
                <w:rFonts w:ascii="Times New Roman" w:hAnsi="Times New Roman" w:cs="Times New Roman"/>
                <w:noProof/>
                <w:sz w:val="24"/>
                <w:szCs w:val="24"/>
              </w:rPr>
              <w:t>:</w:t>
            </w:r>
            <w:r w:rsidRPr="005D0EDE">
              <w:rPr>
                <w:noProof/>
                <w:sz w:val="24"/>
                <w:szCs w:val="24"/>
              </w:rPr>
              <w:t xml:space="preserve">   </w:t>
            </w:r>
            <w:r w:rsidR="009A4468">
              <w:rPr>
                <w:noProof/>
                <w:sz w:val="24"/>
                <w:szCs w:val="24"/>
              </w:rPr>
              <w:t xml:space="preserve">                             </w:t>
            </w:r>
            <w:bookmarkStart w:id="0" w:name="_GoBack"/>
            <w:bookmarkEnd w:id="0"/>
            <w:r w:rsidR="009A4468">
              <w:rPr>
                <w:b/>
                <w:bCs/>
                <w:noProof/>
                <w:color w:val="FF0000"/>
                <w:sz w:val="24"/>
                <w:szCs w:val="24"/>
              </w:rPr>
              <w:t>DRAFT</w:t>
            </w:r>
          </w:p>
          <w:p w14:paraId="2110DCC4" w14:textId="77777777" w:rsidR="00DE4836" w:rsidRDefault="00A12890" w:rsidP="00DE4836">
            <w:pPr>
              <w:tabs>
                <w:tab w:val="left" w:pos="430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</w:rPr>
              <w:t xml:space="preserve"> </w:t>
            </w:r>
            <w:r w:rsidR="00C043D1" w:rsidRPr="00C043D1">
              <w:rPr>
                <w:noProof/>
              </w:rPr>
              <w:t xml:space="preserve"> </w:t>
            </w:r>
            <w:r w:rsidR="00C043D1">
              <w:rPr>
                <w:noProof/>
              </w:rPr>
              <w:t xml:space="preserve">     </w:t>
            </w:r>
            <w:r>
              <w:rPr>
                <w:noProof/>
              </w:rPr>
              <w:t xml:space="preserve">               </w:t>
            </w:r>
            <w:r w:rsidR="00DE4836">
              <w:rPr>
                <w:rFonts w:ascii="Times New Roman" w:eastAsia="Times New Roman" w:hAnsi="Times New Roman" w:cs="Times New Roman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</w:rPr>
              <w:t xml:space="preserve">   </w:t>
            </w:r>
          </w:p>
          <w:p w14:paraId="1EF2141C" w14:textId="03DEAF0C" w:rsidR="00DB13C3" w:rsidRDefault="00F57233" w:rsidP="00DE4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D0EDE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DB13C3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     </w:t>
            </w:r>
            <w:r w:rsidR="00BD2A4E">
              <w:rPr>
                <w:rFonts w:ascii="Times New Roman" w:eastAsia="Times New Roman" w:hAnsi="Times New Roman" w:cs="Times New Roman"/>
                <w:b/>
                <w:bCs/>
              </w:rPr>
              <w:t xml:space="preserve">       </w:t>
            </w:r>
            <w:r w:rsidR="00DB13C3">
              <w:rPr>
                <w:rFonts w:ascii="Times New Roman" w:eastAsia="Times New Roman" w:hAnsi="Times New Roman" w:cs="Times New Roman"/>
                <w:b/>
                <w:bCs/>
              </w:rPr>
              <w:t>_______________________</w:t>
            </w:r>
          </w:p>
          <w:p w14:paraId="47FA45E5" w14:textId="58BEC907" w:rsidR="00C043D1" w:rsidRPr="005D0EDE" w:rsidRDefault="00F57233" w:rsidP="00DE4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784A394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</w:t>
            </w:r>
            <w:r w:rsidR="00AF4EA5" w:rsidRPr="0784A39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DB13C3" w:rsidRPr="0784A394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</w:t>
            </w:r>
            <w:r w:rsidR="00BD2A4E">
              <w:rPr>
                <w:rFonts w:ascii="Times New Roman" w:eastAsia="Times New Roman" w:hAnsi="Times New Roman" w:cs="Times New Roman"/>
                <w:b/>
                <w:bCs/>
              </w:rPr>
              <w:t xml:space="preserve">       </w:t>
            </w:r>
            <w:r w:rsidR="2A27C237" w:rsidRPr="0784A3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Tom</w:t>
            </w:r>
            <w:r w:rsidR="00E924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B.</w:t>
            </w:r>
            <w:r w:rsidR="2A27C237" w:rsidRPr="0784A3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Rabon</w:t>
            </w:r>
            <w:r w:rsidR="00E924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 Jr.</w:t>
            </w:r>
            <w:r w:rsidR="2A27C237" w:rsidRPr="0784A3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67584638" w14:textId="176C2C73" w:rsidR="00972C01" w:rsidRPr="005D0EDE" w:rsidRDefault="00DB13C3" w:rsidP="0784A3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          </w:t>
            </w:r>
            <w:r w:rsidR="00BD2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2BFC1B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NCWorks Commission Chair</w:t>
            </w:r>
          </w:p>
          <w:p w14:paraId="408ABEFD" w14:textId="77777777" w:rsidR="00C043D1" w:rsidRDefault="00C043D1" w:rsidP="00C043D1">
            <w:pP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</w:pPr>
          </w:p>
          <w:p w14:paraId="25CDD84A" w14:textId="77777777" w:rsidR="00C043D1" w:rsidRPr="00C043D1" w:rsidRDefault="00C043D1" w:rsidP="00C043D1">
            <w:pPr>
              <w:tabs>
                <w:tab w:val="left" w:pos="4307"/>
              </w:tabs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9F6F36A" w14:textId="77777777" w:rsidR="00115F70" w:rsidRDefault="00115F70">
      <w:pPr>
        <w:spacing w:after="0" w:line="200" w:lineRule="exact"/>
        <w:rPr>
          <w:sz w:val="20"/>
          <w:szCs w:val="20"/>
        </w:rPr>
      </w:pPr>
    </w:p>
    <w:p w14:paraId="21E4F3B0" w14:textId="77777777" w:rsidR="00115F70" w:rsidRDefault="00115F70">
      <w:pPr>
        <w:spacing w:before="11" w:after="0" w:line="200" w:lineRule="exact"/>
        <w:rPr>
          <w:sz w:val="20"/>
          <w:szCs w:val="20"/>
        </w:rPr>
      </w:pPr>
    </w:p>
    <w:tbl>
      <w:tblPr>
        <w:tblStyle w:val="TableGrid"/>
        <w:tblW w:w="9543" w:type="dxa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2"/>
        <w:gridCol w:w="7941"/>
      </w:tblGrid>
      <w:tr w:rsidR="00221323" w14:paraId="30D6CAF4" w14:textId="77777777" w:rsidTr="00B40190">
        <w:trPr>
          <w:trHeight w:val="1152"/>
        </w:trPr>
        <w:tc>
          <w:tcPr>
            <w:tcW w:w="1602" w:type="dxa"/>
          </w:tcPr>
          <w:p w14:paraId="67657A08" w14:textId="77777777" w:rsidR="00221323" w:rsidRPr="00806BED" w:rsidRDefault="00221323" w:rsidP="00261CFA">
            <w:pPr>
              <w:pStyle w:val="BodyTextIndent"/>
              <w:ind w:left="0" w:firstLine="0"/>
              <w:jc w:val="both"/>
              <w:rPr>
                <w:b/>
                <w:bCs/>
                <w:spacing w:val="-3"/>
                <w:sz w:val="23"/>
                <w:szCs w:val="23"/>
              </w:rPr>
            </w:pPr>
            <w:r w:rsidRPr="00806BED">
              <w:rPr>
                <w:b/>
                <w:bCs/>
                <w:spacing w:val="-3"/>
                <w:sz w:val="23"/>
                <w:szCs w:val="23"/>
              </w:rPr>
              <w:t>Purpose:</w:t>
            </w:r>
          </w:p>
          <w:p w14:paraId="3B076F9B" w14:textId="77777777" w:rsidR="005822F1" w:rsidRDefault="005822F1" w:rsidP="00261CFA">
            <w:pPr>
              <w:pStyle w:val="BodyTextIndent"/>
              <w:ind w:left="0" w:firstLine="0"/>
              <w:jc w:val="both"/>
              <w:rPr>
                <w:b/>
                <w:bCs/>
                <w:spacing w:val="-3"/>
              </w:rPr>
            </w:pPr>
          </w:p>
        </w:tc>
        <w:tc>
          <w:tcPr>
            <w:tcW w:w="7941" w:type="dxa"/>
          </w:tcPr>
          <w:p w14:paraId="275159F6" w14:textId="1A900A96" w:rsidR="00517200" w:rsidRDefault="00425D19" w:rsidP="008B0F2A">
            <w:pPr>
              <w:pStyle w:val="BodyTextIndent"/>
              <w:ind w:left="0" w:firstLine="0"/>
              <w:jc w:val="both"/>
              <w:rPr>
                <w:spacing w:val="1"/>
                <w:sz w:val="23"/>
                <w:szCs w:val="23"/>
              </w:rPr>
            </w:pPr>
            <w:r w:rsidRPr="00806BED">
              <w:rPr>
                <w:bCs/>
                <w:spacing w:val="1"/>
                <w:sz w:val="23"/>
                <w:szCs w:val="23"/>
              </w:rPr>
              <w:t xml:space="preserve">To provide </w:t>
            </w:r>
            <w:r w:rsidR="00786D24">
              <w:rPr>
                <w:bCs/>
                <w:spacing w:val="1"/>
                <w:sz w:val="23"/>
                <w:szCs w:val="23"/>
              </w:rPr>
              <w:t xml:space="preserve">Local Area Workforce Development Boards (WDBs) with guidance and </w:t>
            </w:r>
            <w:r w:rsidRPr="00806BED">
              <w:rPr>
                <w:bCs/>
                <w:spacing w:val="1"/>
                <w:sz w:val="23"/>
                <w:szCs w:val="23"/>
              </w:rPr>
              <w:t xml:space="preserve">procedures for NCWorks Career Center staff to follow regarding customer behaviors that violate the NCWorks Career Center Code of Conduct and for the </w:t>
            </w:r>
            <w:r w:rsidR="00383A80" w:rsidRPr="00806BED">
              <w:rPr>
                <w:bCs/>
                <w:spacing w:val="1"/>
                <w:sz w:val="23"/>
                <w:szCs w:val="23"/>
              </w:rPr>
              <w:t xml:space="preserve">suspension and </w:t>
            </w:r>
            <w:r w:rsidRPr="00806BED">
              <w:rPr>
                <w:bCs/>
                <w:spacing w:val="1"/>
                <w:sz w:val="23"/>
                <w:szCs w:val="23"/>
              </w:rPr>
              <w:t>banishment of customers from NCWorks Career Centers</w:t>
            </w:r>
            <w:r w:rsidR="00765859">
              <w:rPr>
                <w:bCs/>
                <w:spacing w:val="1"/>
                <w:sz w:val="23"/>
                <w:szCs w:val="23"/>
              </w:rPr>
              <w:t>.</w:t>
            </w:r>
            <w:r w:rsidR="006374BB" w:rsidRPr="00806BED">
              <w:rPr>
                <w:bCs/>
                <w:spacing w:val="1"/>
                <w:sz w:val="23"/>
                <w:szCs w:val="23"/>
              </w:rPr>
              <w:t xml:space="preserve"> </w:t>
            </w:r>
          </w:p>
          <w:p w14:paraId="7D1455E5" w14:textId="103026A2" w:rsidR="00765859" w:rsidRDefault="00765859" w:rsidP="008B0F2A">
            <w:pPr>
              <w:pStyle w:val="BodyTextIndent"/>
              <w:ind w:left="0" w:firstLine="0"/>
              <w:jc w:val="both"/>
              <w:rPr>
                <w:spacing w:val="1"/>
                <w:sz w:val="23"/>
                <w:szCs w:val="23"/>
              </w:rPr>
            </w:pPr>
          </w:p>
          <w:p w14:paraId="57CAF2A5" w14:textId="16AA86A7" w:rsidR="008B0F2A" w:rsidRDefault="00765859" w:rsidP="008B0F2A">
            <w:pPr>
              <w:pStyle w:val="BodyTextIndent"/>
              <w:ind w:left="0" w:firstLine="0"/>
              <w:jc w:val="both"/>
              <w:rPr>
                <w:spacing w:val="1"/>
                <w:sz w:val="23"/>
                <w:szCs w:val="23"/>
              </w:rPr>
            </w:pPr>
            <w:r w:rsidRPr="00765859">
              <w:rPr>
                <w:spacing w:val="1"/>
                <w:sz w:val="23"/>
                <w:szCs w:val="23"/>
              </w:rPr>
              <w:t>This change to CPS 06-2021 provides the inclusion of processes for NCPause violations</w:t>
            </w:r>
            <w:r w:rsidR="001E6F5B">
              <w:rPr>
                <w:spacing w:val="1"/>
                <w:sz w:val="23"/>
                <w:szCs w:val="23"/>
              </w:rPr>
              <w:t xml:space="preserve">, updates the email addresses for the State Monitor Advocate, Ombudsman, </w:t>
            </w:r>
            <w:r w:rsidR="00361EFC">
              <w:rPr>
                <w:spacing w:val="1"/>
                <w:sz w:val="23"/>
                <w:szCs w:val="23"/>
              </w:rPr>
              <w:t xml:space="preserve">and </w:t>
            </w:r>
            <w:r w:rsidR="001E6F5B">
              <w:rPr>
                <w:spacing w:val="1"/>
                <w:sz w:val="23"/>
                <w:szCs w:val="23"/>
              </w:rPr>
              <w:t>Customer Call Center,</w:t>
            </w:r>
            <w:r w:rsidRPr="00765859">
              <w:rPr>
                <w:spacing w:val="1"/>
                <w:sz w:val="23"/>
                <w:szCs w:val="23"/>
              </w:rPr>
              <w:t xml:space="preserve"> </w:t>
            </w:r>
            <w:r w:rsidR="009A4468">
              <w:rPr>
                <w:spacing w:val="1"/>
                <w:sz w:val="23"/>
                <w:szCs w:val="23"/>
              </w:rPr>
              <w:t>provides clarification on staff discretion, inclu</w:t>
            </w:r>
            <w:r w:rsidR="009A4468">
              <w:rPr>
                <w:spacing w:val="1"/>
                <w:sz w:val="23"/>
                <w:szCs w:val="23"/>
              </w:rPr>
              <w:t xml:space="preserve">des </w:t>
            </w:r>
            <w:r w:rsidR="00361EFC">
              <w:rPr>
                <w:spacing w:val="1"/>
                <w:sz w:val="23"/>
                <w:szCs w:val="23"/>
              </w:rPr>
              <w:t xml:space="preserve">minor edits to the letter templates, </w:t>
            </w:r>
            <w:r w:rsidRPr="00765859">
              <w:rPr>
                <w:spacing w:val="1"/>
                <w:sz w:val="23"/>
                <w:szCs w:val="23"/>
              </w:rPr>
              <w:t>and rescinds CPS 06-2021.</w:t>
            </w:r>
          </w:p>
          <w:p w14:paraId="76F5053C" w14:textId="22F2CDB9" w:rsidR="00610D04" w:rsidRPr="005E09BE" w:rsidRDefault="00610D04" w:rsidP="008B0F2A">
            <w:pPr>
              <w:pStyle w:val="BodyTextIndent"/>
              <w:ind w:left="0" w:firstLine="0"/>
              <w:jc w:val="both"/>
              <w:rPr>
                <w:bCs/>
                <w:spacing w:val="1"/>
              </w:rPr>
            </w:pPr>
          </w:p>
        </w:tc>
      </w:tr>
      <w:tr w:rsidR="00221323" w14:paraId="0DF04615" w14:textId="77777777" w:rsidTr="00B40190">
        <w:tc>
          <w:tcPr>
            <w:tcW w:w="1602" w:type="dxa"/>
          </w:tcPr>
          <w:p w14:paraId="3B34CBBB" w14:textId="77777777" w:rsidR="00221323" w:rsidRPr="00806BED" w:rsidRDefault="00221323" w:rsidP="00261CFA">
            <w:pPr>
              <w:pStyle w:val="BodyTextIndent"/>
              <w:ind w:left="0" w:firstLine="0"/>
              <w:jc w:val="both"/>
              <w:rPr>
                <w:b/>
                <w:bCs/>
                <w:spacing w:val="-3"/>
                <w:sz w:val="23"/>
                <w:szCs w:val="23"/>
              </w:rPr>
            </w:pPr>
            <w:r w:rsidRPr="00806BED">
              <w:rPr>
                <w:b/>
                <w:bCs/>
                <w:spacing w:val="-3"/>
                <w:sz w:val="23"/>
                <w:szCs w:val="23"/>
              </w:rPr>
              <w:t>Background:</w:t>
            </w:r>
          </w:p>
          <w:p w14:paraId="73789DA5" w14:textId="77777777" w:rsidR="005822F1" w:rsidRDefault="005822F1" w:rsidP="00261CFA">
            <w:pPr>
              <w:pStyle w:val="BodyTextIndent"/>
              <w:ind w:left="0" w:firstLine="0"/>
              <w:jc w:val="both"/>
              <w:rPr>
                <w:b/>
                <w:bCs/>
                <w:spacing w:val="-3"/>
              </w:rPr>
            </w:pPr>
          </w:p>
        </w:tc>
        <w:tc>
          <w:tcPr>
            <w:tcW w:w="7941" w:type="dxa"/>
          </w:tcPr>
          <w:p w14:paraId="7544C58A" w14:textId="5F48AB77" w:rsidR="00F00CFF" w:rsidRPr="00806BED" w:rsidRDefault="00517200" w:rsidP="00261CFA">
            <w:pPr>
              <w:pStyle w:val="BodyTextIndent"/>
              <w:ind w:left="0" w:firstLine="0"/>
              <w:jc w:val="both"/>
              <w:rPr>
                <w:bCs/>
                <w:spacing w:val="1"/>
                <w:sz w:val="23"/>
                <w:szCs w:val="23"/>
              </w:rPr>
            </w:pPr>
            <w:r w:rsidRPr="00806BED">
              <w:rPr>
                <w:bCs/>
                <w:spacing w:val="1"/>
                <w:sz w:val="23"/>
                <w:szCs w:val="23"/>
              </w:rPr>
              <w:t xml:space="preserve">It is the intent of the </w:t>
            </w:r>
            <w:r w:rsidR="00652F2D">
              <w:rPr>
                <w:bCs/>
                <w:spacing w:val="1"/>
                <w:sz w:val="23"/>
                <w:szCs w:val="23"/>
              </w:rPr>
              <w:t>Division of Workforce Solutions (</w:t>
            </w:r>
            <w:r w:rsidR="00AE071F" w:rsidRPr="00806BED">
              <w:rPr>
                <w:bCs/>
                <w:spacing w:val="1"/>
                <w:sz w:val="23"/>
                <w:szCs w:val="23"/>
              </w:rPr>
              <w:t>DWS</w:t>
            </w:r>
            <w:r w:rsidR="00652F2D">
              <w:rPr>
                <w:bCs/>
                <w:spacing w:val="1"/>
                <w:sz w:val="23"/>
                <w:szCs w:val="23"/>
              </w:rPr>
              <w:t>)</w:t>
            </w:r>
            <w:r w:rsidR="00AE071F" w:rsidRPr="00806BED">
              <w:rPr>
                <w:bCs/>
                <w:spacing w:val="1"/>
                <w:sz w:val="23"/>
                <w:szCs w:val="23"/>
              </w:rPr>
              <w:t xml:space="preserve"> </w:t>
            </w:r>
            <w:r w:rsidR="00F43A36" w:rsidRPr="00806BED">
              <w:rPr>
                <w:bCs/>
                <w:spacing w:val="1"/>
                <w:sz w:val="23"/>
                <w:szCs w:val="23"/>
              </w:rPr>
              <w:t xml:space="preserve">and the </w:t>
            </w:r>
            <w:r w:rsidR="005A225B" w:rsidRPr="00806BED">
              <w:rPr>
                <w:bCs/>
                <w:spacing w:val="1"/>
                <w:sz w:val="23"/>
                <w:szCs w:val="23"/>
              </w:rPr>
              <w:t>NCWorks Commission</w:t>
            </w:r>
            <w:r w:rsidR="00324F49" w:rsidRPr="00806BED">
              <w:rPr>
                <w:bCs/>
                <w:spacing w:val="1"/>
                <w:sz w:val="23"/>
                <w:szCs w:val="23"/>
              </w:rPr>
              <w:t xml:space="preserve"> </w:t>
            </w:r>
            <w:r w:rsidRPr="00806BED">
              <w:rPr>
                <w:bCs/>
                <w:spacing w:val="1"/>
                <w:sz w:val="23"/>
                <w:szCs w:val="23"/>
              </w:rPr>
              <w:t>to provide a safe environment for customers seeking services</w:t>
            </w:r>
            <w:r w:rsidR="006B22F0" w:rsidRPr="00806BED">
              <w:rPr>
                <w:bCs/>
                <w:spacing w:val="1"/>
                <w:sz w:val="23"/>
                <w:szCs w:val="23"/>
              </w:rPr>
              <w:t xml:space="preserve"> and staff</w:t>
            </w:r>
            <w:r w:rsidRPr="00806BED">
              <w:rPr>
                <w:bCs/>
                <w:spacing w:val="1"/>
                <w:sz w:val="23"/>
                <w:szCs w:val="23"/>
              </w:rPr>
              <w:t xml:space="preserve"> in the NCWorks Career Center</w:t>
            </w:r>
            <w:r w:rsidR="00CC0EE2" w:rsidRPr="00806BED">
              <w:rPr>
                <w:bCs/>
                <w:spacing w:val="1"/>
                <w:sz w:val="23"/>
                <w:szCs w:val="23"/>
              </w:rPr>
              <w:t>s</w:t>
            </w:r>
            <w:r w:rsidRPr="00806BED">
              <w:rPr>
                <w:bCs/>
                <w:spacing w:val="1"/>
                <w:sz w:val="23"/>
                <w:szCs w:val="23"/>
              </w:rPr>
              <w:t>.</w:t>
            </w:r>
            <w:r w:rsidR="00AE071F" w:rsidRPr="00806BED">
              <w:rPr>
                <w:bCs/>
                <w:spacing w:val="1"/>
                <w:sz w:val="23"/>
                <w:szCs w:val="23"/>
              </w:rPr>
              <w:t xml:space="preserve"> </w:t>
            </w:r>
            <w:r w:rsidR="00D3305A" w:rsidRPr="00806BED">
              <w:rPr>
                <w:bCs/>
                <w:spacing w:val="1"/>
                <w:sz w:val="23"/>
                <w:szCs w:val="23"/>
              </w:rPr>
              <w:t xml:space="preserve">DWS previously distributed the Code of Conduct for display in all NCWorks Career Centers.   This </w:t>
            </w:r>
            <w:r w:rsidR="003D67AC" w:rsidRPr="00806BED">
              <w:rPr>
                <w:bCs/>
                <w:spacing w:val="1"/>
                <w:sz w:val="23"/>
                <w:szCs w:val="23"/>
              </w:rPr>
              <w:t xml:space="preserve">policy </w:t>
            </w:r>
            <w:r w:rsidR="00D3305A" w:rsidRPr="00806BED">
              <w:rPr>
                <w:bCs/>
                <w:spacing w:val="1"/>
                <w:sz w:val="23"/>
                <w:szCs w:val="23"/>
              </w:rPr>
              <w:t xml:space="preserve">and its </w:t>
            </w:r>
            <w:r w:rsidR="003D67AC" w:rsidRPr="00806BED">
              <w:rPr>
                <w:bCs/>
                <w:spacing w:val="1"/>
                <w:sz w:val="23"/>
                <w:szCs w:val="23"/>
              </w:rPr>
              <w:t>a</w:t>
            </w:r>
            <w:r w:rsidR="00D3305A" w:rsidRPr="00806BED">
              <w:rPr>
                <w:bCs/>
                <w:spacing w:val="1"/>
                <w:sz w:val="23"/>
                <w:szCs w:val="23"/>
              </w:rPr>
              <w:t>ttachments provide</w:t>
            </w:r>
            <w:r w:rsidR="00BA5A5E" w:rsidRPr="00806BED">
              <w:rPr>
                <w:bCs/>
                <w:spacing w:val="1"/>
                <w:sz w:val="23"/>
                <w:szCs w:val="23"/>
              </w:rPr>
              <w:t xml:space="preserve"> guidance</w:t>
            </w:r>
            <w:r w:rsidR="00D3305A" w:rsidRPr="00806BED">
              <w:rPr>
                <w:bCs/>
                <w:spacing w:val="1"/>
                <w:sz w:val="23"/>
                <w:szCs w:val="23"/>
              </w:rPr>
              <w:t xml:space="preserve">, </w:t>
            </w:r>
            <w:r w:rsidR="00BA5A5E" w:rsidRPr="00806BED">
              <w:rPr>
                <w:bCs/>
                <w:spacing w:val="1"/>
                <w:sz w:val="23"/>
                <w:szCs w:val="23"/>
              </w:rPr>
              <w:t>procedures</w:t>
            </w:r>
            <w:r w:rsidR="00D3305A" w:rsidRPr="00806BED">
              <w:rPr>
                <w:bCs/>
                <w:spacing w:val="1"/>
                <w:sz w:val="23"/>
                <w:szCs w:val="23"/>
              </w:rPr>
              <w:t>, and templates</w:t>
            </w:r>
            <w:r w:rsidR="00BA5A5E" w:rsidRPr="00806BED">
              <w:rPr>
                <w:bCs/>
                <w:spacing w:val="1"/>
                <w:sz w:val="23"/>
                <w:szCs w:val="23"/>
              </w:rPr>
              <w:t xml:space="preserve"> </w:t>
            </w:r>
            <w:r w:rsidR="00C5722A" w:rsidRPr="00806BED">
              <w:rPr>
                <w:bCs/>
                <w:spacing w:val="1"/>
                <w:sz w:val="23"/>
                <w:szCs w:val="23"/>
              </w:rPr>
              <w:t>related to</w:t>
            </w:r>
            <w:r w:rsidR="00BA5A5E" w:rsidRPr="00806BED">
              <w:rPr>
                <w:bCs/>
                <w:spacing w:val="1"/>
                <w:sz w:val="23"/>
                <w:szCs w:val="23"/>
              </w:rPr>
              <w:t xml:space="preserve"> violations of</w:t>
            </w:r>
            <w:r w:rsidR="00383A80" w:rsidRPr="00806BED">
              <w:rPr>
                <w:bCs/>
                <w:spacing w:val="1"/>
                <w:sz w:val="23"/>
                <w:szCs w:val="23"/>
              </w:rPr>
              <w:t xml:space="preserve"> the</w:t>
            </w:r>
            <w:r w:rsidR="0092234E" w:rsidRPr="00806BED">
              <w:rPr>
                <w:bCs/>
                <w:spacing w:val="1"/>
                <w:sz w:val="23"/>
                <w:szCs w:val="23"/>
              </w:rPr>
              <w:t xml:space="preserve"> NCWorks Career Center Code of Conduct</w:t>
            </w:r>
            <w:r w:rsidR="00BA5A5E" w:rsidRPr="00806BED">
              <w:rPr>
                <w:bCs/>
                <w:spacing w:val="1"/>
                <w:sz w:val="23"/>
                <w:szCs w:val="23"/>
              </w:rPr>
              <w:t>.</w:t>
            </w:r>
            <w:r w:rsidR="0092234E" w:rsidRPr="00806BED">
              <w:rPr>
                <w:bCs/>
                <w:spacing w:val="1"/>
                <w:sz w:val="23"/>
                <w:szCs w:val="23"/>
              </w:rPr>
              <w:t xml:space="preserve">  </w:t>
            </w:r>
            <w:r w:rsidR="00D3305A" w:rsidRPr="00806BED">
              <w:rPr>
                <w:bCs/>
                <w:spacing w:val="1"/>
                <w:sz w:val="23"/>
                <w:szCs w:val="23"/>
              </w:rPr>
              <w:t xml:space="preserve"> </w:t>
            </w:r>
          </w:p>
          <w:p w14:paraId="6A5B300C" w14:textId="77777777" w:rsidR="00383A80" w:rsidRDefault="00383A80" w:rsidP="00261CFA">
            <w:pPr>
              <w:pStyle w:val="BodyTextIndent"/>
              <w:ind w:left="0" w:firstLine="0"/>
              <w:jc w:val="both"/>
              <w:rPr>
                <w:bCs/>
                <w:spacing w:val="1"/>
              </w:rPr>
            </w:pPr>
          </w:p>
          <w:p w14:paraId="3CC928CF" w14:textId="0D38F7A7" w:rsidR="00383A80" w:rsidRPr="00E14080" w:rsidRDefault="00FD117E" w:rsidP="00261CFA">
            <w:pPr>
              <w:pStyle w:val="BodyTextIndent"/>
              <w:ind w:left="0" w:firstLine="0"/>
              <w:jc w:val="both"/>
              <w:rPr>
                <w:sz w:val="23"/>
                <w:szCs w:val="23"/>
              </w:rPr>
            </w:pPr>
            <w:r w:rsidRPr="00E14080">
              <w:rPr>
                <w:spacing w:val="1"/>
                <w:sz w:val="23"/>
                <w:szCs w:val="23"/>
              </w:rPr>
              <w:t>U.S. Department of Labor</w:t>
            </w:r>
            <w:r w:rsidR="00383A80" w:rsidRPr="00E14080">
              <w:rPr>
                <w:spacing w:val="1"/>
                <w:sz w:val="23"/>
                <w:szCs w:val="23"/>
              </w:rPr>
              <w:t xml:space="preserve"> has mandated that DWS develop a statewide complaint and inquiry intake system, as well as an appeals process for jobseekers who have been banished</w:t>
            </w:r>
            <w:r w:rsidR="26CB8300" w:rsidRPr="00E14080">
              <w:rPr>
                <w:spacing w:val="1"/>
                <w:sz w:val="23"/>
                <w:szCs w:val="23"/>
              </w:rPr>
              <w:t xml:space="preserve"> or suspended</w:t>
            </w:r>
            <w:r w:rsidR="00383A80" w:rsidRPr="00E14080">
              <w:rPr>
                <w:spacing w:val="1"/>
                <w:sz w:val="23"/>
                <w:szCs w:val="23"/>
              </w:rPr>
              <w:t xml:space="preserve">, employers who have been denied access to www.ncworks.gov, </w:t>
            </w:r>
            <w:r w:rsidR="52107086" w:rsidRPr="00E14080">
              <w:rPr>
                <w:spacing w:val="1"/>
                <w:sz w:val="23"/>
                <w:szCs w:val="23"/>
              </w:rPr>
              <w:t xml:space="preserve">as well as </w:t>
            </w:r>
            <w:r w:rsidR="00383A80" w:rsidRPr="00E14080">
              <w:rPr>
                <w:spacing w:val="1"/>
                <w:sz w:val="23"/>
                <w:szCs w:val="23"/>
              </w:rPr>
              <w:t xml:space="preserve">Migrant </w:t>
            </w:r>
            <w:r w:rsidR="00ED600E" w:rsidRPr="00E14080">
              <w:rPr>
                <w:spacing w:val="1"/>
                <w:sz w:val="23"/>
                <w:szCs w:val="23"/>
              </w:rPr>
              <w:t xml:space="preserve">and </w:t>
            </w:r>
            <w:r w:rsidR="00383A80" w:rsidRPr="00E14080">
              <w:rPr>
                <w:spacing w:val="1"/>
                <w:sz w:val="23"/>
                <w:szCs w:val="23"/>
              </w:rPr>
              <w:t>Seasonal Farm Workers (M</w:t>
            </w:r>
            <w:r w:rsidR="0065790A" w:rsidRPr="00E14080">
              <w:rPr>
                <w:spacing w:val="1"/>
                <w:sz w:val="23"/>
                <w:szCs w:val="23"/>
              </w:rPr>
              <w:t>SF</w:t>
            </w:r>
            <w:r w:rsidR="00383A80" w:rsidRPr="00E14080">
              <w:rPr>
                <w:spacing w:val="1"/>
                <w:sz w:val="23"/>
                <w:szCs w:val="23"/>
              </w:rPr>
              <w:t>W) and employers affiliated with the M</w:t>
            </w:r>
            <w:r w:rsidR="0065790A" w:rsidRPr="00E14080">
              <w:rPr>
                <w:spacing w:val="1"/>
                <w:sz w:val="23"/>
                <w:szCs w:val="23"/>
              </w:rPr>
              <w:t>SFW</w:t>
            </w:r>
            <w:r w:rsidR="00383A80" w:rsidRPr="00E14080">
              <w:rPr>
                <w:spacing w:val="1"/>
                <w:sz w:val="23"/>
                <w:szCs w:val="23"/>
              </w:rPr>
              <w:t xml:space="preserve"> program. </w:t>
            </w:r>
            <w:r w:rsidR="77AA0033" w:rsidRPr="00E14080">
              <w:rPr>
                <w:spacing w:val="1"/>
                <w:sz w:val="23"/>
                <w:szCs w:val="23"/>
              </w:rPr>
              <w:t xml:space="preserve">This policy </w:t>
            </w:r>
            <w:r w:rsidR="003D67AC" w:rsidRPr="00E14080">
              <w:rPr>
                <w:spacing w:val="1"/>
                <w:sz w:val="23"/>
                <w:szCs w:val="23"/>
              </w:rPr>
              <w:t>provides a statewide system for</w:t>
            </w:r>
            <w:r w:rsidR="77AA0033" w:rsidRPr="00E14080">
              <w:rPr>
                <w:spacing w:val="1"/>
                <w:sz w:val="23"/>
                <w:szCs w:val="23"/>
              </w:rPr>
              <w:t xml:space="preserve"> issues associated with </w:t>
            </w:r>
            <w:r w:rsidR="47791067" w:rsidRPr="00E14080">
              <w:rPr>
                <w:spacing w:val="1"/>
                <w:sz w:val="23"/>
                <w:szCs w:val="23"/>
              </w:rPr>
              <w:t>customer</w:t>
            </w:r>
            <w:r w:rsidR="77AA0033" w:rsidRPr="00E14080">
              <w:rPr>
                <w:spacing w:val="1"/>
                <w:sz w:val="23"/>
                <w:szCs w:val="23"/>
              </w:rPr>
              <w:t xml:space="preserve"> </w:t>
            </w:r>
            <w:r w:rsidR="39DEED5E" w:rsidRPr="00E14080">
              <w:rPr>
                <w:spacing w:val="1"/>
                <w:sz w:val="23"/>
                <w:szCs w:val="23"/>
              </w:rPr>
              <w:t xml:space="preserve">conduct at NCWorks Career Centers. </w:t>
            </w:r>
            <w:r w:rsidR="4AB37826" w:rsidRPr="00E14080">
              <w:rPr>
                <w:sz w:val="23"/>
                <w:szCs w:val="23"/>
              </w:rPr>
              <w:t>Separate policies have been established for managing customer complaints/appeals</w:t>
            </w:r>
            <w:r w:rsidR="0F3AC19A" w:rsidRPr="00E14080">
              <w:rPr>
                <w:sz w:val="23"/>
                <w:szCs w:val="23"/>
              </w:rPr>
              <w:t xml:space="preserve"> and</w:t>
            </w:r>
            <w:r w:rsidR="4AB37826" w:rsidRPr="00E14080">
              <w:rPr>
                <w:spacing w:val="1"/>
                <w:sz w:val="23"/>
                <w:szCs w:val="23"/>
              </w:rPr>
              <w:t xml:space="preserve"> the </w:t>
            </w:r>
            <w:r w:rsidR="00FF4E21" w:rsidRPr="00E14080">
              <w:rPr>
                <w:spacing w:val="1"/>
                <w:sz w:val="23"/>
                <w:szCs w:val="23"/>
              </w:rPr>
              <w:t xml:space="preserve">MSFW </w:t>
            </w:r>
            <w:r w:rsidR="4AB37826" w:rsidRPr="00E14080">
              <w:rPr>
                <w:spacing w:val="1"/>
                <w:sz w:val="23"/>
                <w:szCs w:val="23"/>
              </w:rPr>
              <w:t xml:space="preserve">program. </w:t>
            </w:r>
            <w:r w:rsidR="2595664A" w:rsidRPr="00E14080">
              <w:rPr>
                <w:sz w:val="23"/>
                <w:szCs w:val="23"/>
              </w:rPr>
              <w:t xml:space="preserve">Any questions, complaints, or appeal inquiries made by </w:t>
            </w:r>
            <w:r w:rsidR="00F70940" w:rsidRPr="00E14080">
              <w:rPr>
                <w:sz w:val="23"/>
                <w:szCs w:val="23"/>
              </w:rPr>
              <w:t xml:space="preserve">MSFW </w:t>
            </w:r>
            <w:r w:rsidR="2595664A" w:rsidRPr="00E14080">
              <w:rPr>
                <w:sz w:val="23"/>
                <w:szCs w:val="23"/>
              </w:rPr>
              <w:t xml:space="preserve">should be routed to the DWS Monitor Advocate </w:t>
            </w:r>
            <w:hyperlink r:id="rId11" w:history="1">
              <w:r w:rsidR="008775EA" w:rsidRPr="003A7A0C">
                <w:rPr>
                  <w:rStyle w:val="Hyperlink"/>
                  <w:sz w:val="23"/>
                  <w:szCs w:val="23"/>
                </w:rPr>
                <w:t>DWS_StateMonitorAdvocate@commerce.nc.gov</w:t>
              </w:r>
            </w:hyperlink>
            <w:r w:rsidR="008775EA">
              <w:rPr>
                <w:rStyle w:val="Hyperlink"/>
                <w:color w:val="auto"/>
                <w:sz w:val="23"/>
                <w:szCs w:val="23"/>
              </w:rPr>
              <w:t xml:space="preserve"> </w:t>
            </w:r>
            <w:r w:rsidR="00D3169C" w:rsidRPr="00E14080">
              <w:rPr>
                <w:sz w:val="23"/>
                <w:szCs w:val="23"/>
              </w:rPr>
              <w:t>per</w:t>
            </w:r>
            <w:r w:rsidR="00BD2A4E">
              <w:rPr>
                <w:sz w:val="23"/>
                <w:szCs w:val="23"/>
              </w:rPr>
              <w:t xml:space="preserve"> </w:t>
            </w:r>
            <w:r w:rsidR="2595664A" w:rsidRPr="00E14080">
              <w:rPr>
                <w:sz w:val="23"/>
                <w:szCs w:val="23"/>
              </w:rPr>
              <w:t>Commission</w:t>
            </w:r>
            <w:r w:rsidR="00BD2A4E">
              <w:rPr>
                <w:sz w:val="23"/>
                <w:szCs w:val="23"/>
              </w:rPr>
              <w:t xml:space="preserve"> </w:t>
            </w:r>
            <w:r w:rsidR="2595664A" w:rsidRPr="00E14080">
              <w:rPr>
                <w:sz w:val="23"/>
                <w:szCs w:val="23"/>
              </w:rPr>
              <w:t>Policy Statement</w:t>
            </w:r>
            <w:r w:rsidR="00610D04">
              <w:rPr>
                <w:sz w:val="23"/>
                <w:szCs w:val="23"/>
              </w:rPr>
              <w:t xml:space="preserve"> </w:t>
            </w:r>
            <w:r w:rsidR="00C93203" w:rsidRPr="00E14080">
              <w:rPr>
                <w:sz w:val="23"/>
                <w:szCs w:val="23"/>
              </w:rPr>
              <w:t>Migrant and Seasonal Farm Worker (MSFW) Complaint System and Appeal Policy Procedures</w:t>
            </w:r>
            <w:r w:rsidR="00F07256" w:rsidRPr="00E14080">
              <w:rPr>
                <w:sz w:val="23"/>
                <w:szCs w:val="23"/>
              </w:rPr>
              <w:t>.  All other customer complaints, questions, or concerns should be routed through the DWS Ombudsman who can be reached at</w:t>
            </w:r>
            <w:r w:rsidR="00244BF5">
              <w:rPr>
                <w:sz w:val="23"/>
                <w:szCs w:val="23"/>
              </w:rPr>
              <w:t xml:space="preserve"> </w:t>
            </w:r>
            <w:r w:rsidR="00B35738">
              <w:rPr>
                <w:sz w:val="23"/>
                <w:szCs w:val="23"/>
              </w:rPr>
              <w:t>984-236-4254</w:t>
            </w:r>
            <w:r w:rsidR="00244BF5">
              <w:rPr>
                <w:sz w:val="23"/>
                <w:szCs w:val="23"/>
              </w:rPr>
              <w:t xml:space="preserve"> or</w:t>
            </w:r>
            <w:r w:rsidR="00503EB0" w:rsidRPr="00E14080">
              <w:rPr>
                <w:sz w:val="23"/>
                <w:szCs w:val="23"/>
              </w:rPr>
              <w:t xml:space="preserve"> </w:t>
            </w:r>
            <w:r w:rsidR="00652F2D">
              <w:rPr>
                <w:rStyle w:val="Hyperlink"/>
                <w:sz w:val="23"/>
                <w:szCs w:val="23"/>
              </w:rPr>
              <w:t>CustomerOmbudsman@ncworks.gov</w:t>
            </w:r>
            <w:r w:rsidR="004C4042">
              <w:rPr>
                <w:rStyle w:val="Hyperlink"/>
                <w:color w:val="auto"/>
                <w:sz w:val="23"/>
                <w:szCs w:val="23"/>
              </w:rPr>
              <w:t>.</w:t>
            </w:r>
          </w:p>
          <w:p w14:paraId="0C2F4ED7" w14:textId="77777777" w:rsidR="00517200" w:rsidRPr="005E09BE" w:rsidRDefault="00517200" w:rsidP="00261CFA">
            <w:pPr>
              <w:pStyle w:val="BodyTextIndent"/>
              <w:ind w:left="0" w:firstLine="0"/>
              <w:jc w:val="both"/>
              <w:rPr>
                <w:bCs/>
                <w:spacing w:val="1"/>
              </w:rPr>
            </w:pPr>
          </w:p>
        </w:tc>
      </w:tr>
      <w:tr w:rsidR="00221323" w14:paraId="3909BEF5" w14:textId="77777777" w:rsidTr="00B40190">
        <w:trPr>
          <w:trHeight w:val="1871"/>
        </w:trPr>
        <w:tc>
          <w:tcPr>
            <w:tcW w:w="1602" w:type="dxa"/>
          </w:tcPr>
          <w:p w14:paraId="55BD3B0A" w14:textId="77777777" w:rsidR="00221323" w:rsidRPr="00806BED" w:rsidRDefault="00221323" w:rsidP="00261CFA">
            <w:pPr>
              <w:pStyle w:val="BodyTextIndent"/>
              <w:ind w:left="0" w:firstLine="0"/>
              <w:jc w:val="both"/>
              <w:rPr>
                <w:b/>
                <w:bCs/>
                <w:spacing w:val="-3"/>
                <w:sz w:val="23"/>
                <w:szCs w:val="23"/>
              </w:rPr>
            </w:pPr>
            <w:r w:rsidRPr="00806BED">
              <w:rPr>
                <w:b/>
                <w:bCs/>
                <w:spacing w:val="-3"/>
                <w:sz w:val="23"/>
                <w:szCs w:val="23"/>
              </w:rPr>
              <w:lastRenderedPageBreak/>
              <w:t>Action:</w:t>
            </w:r>
          </w:p>
          <w:p w14:paraId="578EDD4D" w14:textId="77777777" w:rsidR="005822F1" w:rsidRDefault="005822F1" w:rsidP="00261CFA">
            <w:pPr>
              <w:pStyle w:val="BodyTextIndent"/>
              <w:ind w:left="0" w:firstLine="0"/>
              <w:jc w:val="both"/>
              <w:rPr>
                <w:b/>
                <w:bCs/>
                <w:spacing w:val="-3"/>
              </w:rPr>
            </w:pPr>
          </w:p>
        </w:tc>
        <w:tc>
          <w:tcPr>
            <w:tcW w:w="7941" w:type="dxa"/>
          </w:tcPr>
          <w:p w14:paraId="167CD9F8" w14:textId="5387858A" w:rsidR="00B93206" w:rsidRPr="00806BED" w:rsidRDefault="6F68C7D5" w:rsidP="334716CC">
            <w:pPr>
              <w:pStyle w:val="BodyTextIndent"/>
              <w:ind w:left="0" w:firstLine="0"/>
              <w:jc w:val="both"/>
              <w:rPr>
                <w:spacing w:val="1"/>
                <w:sz w:val="23"/>
                <w:szCs w:val="23"/>
              </w:rPr>
            </w:pPr>
            <w:r w:rsidRPr="00806BED">
              <w:rPr>
                <w:spacing w:val="1"/>
                <w:sz w:val="23"/>
                <w:szCs w:val="23"/>
              </w:rPr>
              <w:t xml:space="preserve">Effective immediately, </w:t>
            </w:r>
            <w:r w:rsidR="00786D24">
              <w:rPr>
                <w:spacing w:val="1"/>
                <w:sz w:val="23"/>
                <w:szCs w:val="23"/>
              </w:rPr>
              <w:t xml:space="preserve">Local Area WDBs should ensure that </w:t>
            </w:r>
            <w:r w:rsidRPr="00806BED">
              <w:rPr>
                <w:spacing w:val="1"/>
                <w:sz w:val="23"/>
                <w:szCs w:val="23"/>
              </w:rPr>
              <w:t xml:space="preserve">NCWorks Career Center staff </w:t>
            </w:r>
            <w:r w:rsidR="325DBD24" w:rsidRPr="00806BED">
              <w:rPr>
                <w:spacing w:val="1"/>
                <w:sz w:val="23"/>
                <w:szCs w:val="23"/>
              </w:rPr>
              <w:t>display</w:t>
            </w:r>
            <w:r w:rsidR="5C251DC7" w:rsidRPr="00806BED">
              <w:rPr>
                <w:spacing w:val="1"/>
                <w:sz w:val="23"/>
                <w:szCs w:val="23"/>
              </w:rPr>
              <w:t xml:space="preserve"> NCWorks Career Center Code of Conduct signs</w:t>
            </w:r>
            <w:r w:rsidR="00383A80" w:rsidRPr="00806BED">
              <w:rPr>
                <w:spacing w:val="1"/>
                <w:sz w:val="23"/>
                <w:szCs w:val="23"/>
              </w:rPr>
              <w:t xml:space="preserve"> </w:t>
            </w:r>
            <w:r w:rsidR="5C251DC7" w:rsidRPr="00806BED">
              <w:rPr>
                <w:spacing w:val="1"/>
                <w:sz w:val="23"/>
                <w:szCs w:val="23"/>
              </w:rPr>
              <w:t>in a location where the signs are visible to all customers in NCWorks Career Centers across the state.</w:t>
            </w:r>
            <w:r w:rsidR="2811A23F" w:rsidRPr="00806BED">
              <w:rPr>
                <w:spacing w:val="1"/>
                <w:sz w:val="23"/>
                <w:szCs w:val="23"/>
              </w:rPr>
              <w:t xml:space="preserve"> </w:t>
            </w:r>
            <w:r w:rsidR="00B93206" w:rsidRPr="00806BED">
              <w:rPr>
                <w:spacing w:val="1"/>
                <w:sz w:val="23"/>
                <w:szCs w:val="23"/>
              </w:rPr>
              <w:t>Code of Conduct signage cannot be altered or modified unless prior written approval has been granted by DWS.</w:t>
            </w:r>
            <w:r w:rsidR="007F47C4" w:rsidRPr="00806BED">
              <w:rPr>
                <w:spacing w:val="1"/>
                <w:sz w:val="23"/>
                <w:szCs w:val="23"/>
              </w:rPr>
              <w:t xml:space="preserve">  </w:t>
            </w:r>
            <w:r w:rsidR="00786D24">
              <w:rPr>
                <w:spacing w:val="1"/>
                <w:sz w:val="23"/>
                <w:szCs w:val="23"/>
              </w:rPr>
              <w:t xml:space="preserve">Local Area WDBs should ensure that </w:t>
            </w:r>
            <w:r w:rsidR="007F47C4" w:rsidRPr="00806BED">
              <w:rPr>
                <w:spacing w:val="1"/>
                <w:sz w:val="23"/>
                <w:szCs w:val="23"/>
              </w:rPr>
              <w:t xml:space="preserve">NCWorks Career Center staff enforce the Code of Conduct when violations are committed. </w:t>
            </w:r>
          </w:p>
          <w:p w14:paraId="201827E4" w14:textId="77777777" w:rsidR="00B93206" w:rsidRPr="00806BED" w:rsidRDefault="00B93206" w:rsidP="334716CC">
            <w:pPr>
              <w:pStyle w:val="BodyTextIndent"/>
              <w:ind w:left="0" w:firstLine="0"/>
              <w:jc w:val="both"/>
              <w:rPr>
                <w:spacing w:val="1"/>
                <w:sz w:val="23"/>
                <w:szCs w:val="23"/>
              </w:rPr>
            </w:pPr>
          </w:p>
          <w:p w14:paraId="7D4E69E1" w14:textId="68A26E0A" w:rsidR="00B93206" w:rsidRPr="00806BED" w:rsidRDefault="00786D24" w:rsidP="00FA1939">
            <w:pPr>
              <w:pStyle w:val="BodyTextIndent"/>
              <w:ind w:left="0" w:right="15" w:firstLine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Local Area WDBs should ensure that a</w:t>
            </w:r>
            <w:r w:rsidR="007F47C4" w:rsidRPr="00806BED">
              <w:rPr>
                <w:sz w:val="23"/>
                <w:szCs w:val="23"/>
              </w:rPr>
              <w:t>ll NCWorks Career Center staff receive formal training on NCSafe</w:t>
            </w:r>
            <w:r w:rsidR="00F90DB1">
              <w:rPr>
                <w:sz w:val="23"/>
                <w:szCs w:val="23"/>
              </w:rPr>
              <w:t>/</w:t>
            </w:r>
            <w:r w:rsidR="00765859">
              <w:rPr>
                <w:sz w:val="23"/>
                <w:szCs w:val="23"/>
              </w:rPr>
              <w:t>NCPause</w:t>
            </w:r>
            <w:r w:rsidR="007F47C4" w:rsidRPr="00806BED">
              <w:rPr>
                <w:color w:val="FF0000"/>
                <w:sz w:val="23"/>
                <w:szCs w:val="23"/>
              </w:rPr>
              <w:t xml:space="preserve"> </w:t>
            </w:r>
            <w:r w:rsidR="007F47C4" w:rsidRPr="00806BED">
              <w:rPr>
                <w:sz w:val="23"/>
                <w:szCs w:val="23"/>
              </w:rPr>
              <w:t>system</w:t>
            </w:r>
            <w:r w:rsidR="00F90DB1">
              <w:rPr>
                <w:sz w:val="23"/>
                <w:szCs w:val="23"/>
              </w:rPr>
              <w:t xml:space="preserve"> procedures</w:t>
            </w:r>
            <w:r w:rsidR="007F47C4" w:rsidRPr="00806BED">
              <w:rPr>
                <w:sz w:val="23"/>
                <w:szCs w:val="23"/>
              </w:rPr>
              <w:t xml:space="preserve"> and</w:t>
            </w:r>
            <w:r w:rsidR="007F47C4" w:rsidRPr="00806BED">
              <w:rPr>
                <w:color w:val="FF0000"/>
                <w:sz w:val="23"/>
                <w:szCs w:val="23"/>
              </w:rPr>
              <w:t xml:space="preserve"> </w:t>
            </w:r>
            <w:r w:rsidR="007F47C4" w:rsidRPr="00806BED">
              <w:rPr>
                <w:sz w:val="23"/>
                <w:szCs w:val="23"/>
              </w:rPr>
              <w:t>sign a notification of completion</w:t>
            </w:r>
            <w:r>
              <w:rPr>
                <w:sz w:val="23"/>
                <w:szCs w:val="23"/>
              </w:rPr>
              <w:t xml:space="preserve"> and that a</w:t>
            </w:r>
            <w:r w:rsidR="2811A23F" w:rsidRPr="00806BED">
              <w:rPr>
                <w:spacing w:val="1"/>
                <w:sz w:val="23"/>
                <w:szCs w:val="23"/>
              </w:rPr>
              <w:t>ll</w:t>
            </w:r>
            <w:r w:rsidR="5C251DC7" w:rsidRPr="00806BED">
              <w:rPr>
                <w:spacing w:val="1"/>
                <w:sz w:val="23"/>
                <w:szCs w:val="23"/>
              </w:rPr>
              <w:t xml:space="preserve"> NCWorks Career Center staff </w:t>
            </w:r>
            <w:r w:rsidR="52454EE2" w:rsidRPr="00806BED">
              <w:rPr>
                <w:spacing w:val="1"/>
                <w:sz w:val="23"/>
                <w:szCs w:val="23"/>
              </w:rPr>
              <w:t>utilize the NCSafe</w:t>
            </w:r>
            <w:r w:rsidR="00765859">
              <w:rPr>
                <w:spacing w:val="1"/>
                <w:sz w:val="23"/>
                <w:szCs w:val="23"/>
              </w:rPr>
              <w:t>/NCPause</w:t>
            </w:r>
            <w:r w:rsidR="52454EE2" w:rsidRPr="00806BED">
              <w:rPr>
                <w:color w:val="FF0000"/>
                <w:spacing w:val="1"/>
                <w:sz w:val="23"/>
                <w:szCs w:val="23"/>
              </w:rPr>
              <w:t xml:space="preserve"> </w:t>
            </w:r>
            <w:r w:rsidR="52454EE2" w:rsidRPr="00806BED">
              <w:rPr>
                <w:spacing w:val="1"/>
                <w:sz w:val="23"/>
                <w:szCs w:val="23"/>
              </w:rPr>
              <w:t xml:space="preserve">protocols in </w:t>
            </w:r>
            <w:r w:rsidR="52454EE2" w:rsidRPr="00806BED">
              <w:rPr>
                <w:sz w:val="23"/>
                <w:szCs w:val="23"/>
              </w:rPr>
              <w:t>www.ncworks.gov</w:t>
            </w:r>
            <w:r w:rsidR="52454EE2" w:rsidRPr="00806BED">
              <w:rPr>
                <w:spacing w:val="1"/>
                <w:sz w:val="23"/>
                <w:szCs w:val="23"/>
              </w:rPr>
              <w:t xml:space="preserve">. </w:t>
            </w:r>
            <w:r w:rsidR="52454EE2" w:rsidRPr="00806BED">
              <w:rPr>
                <w:sz w:val="23"/>
                <w:szCs w:val="23"/>
              </w:rPr>
              <w:t>The NCSafe</w:t>
            </w:r>
            <w:r w:rsidR="00765859">
              <w:rPr>
                <w:sz w:val="23"/>
                <w:szCs w:val="23"/>
              </w:rPr>
              <w:t>/NCPause</w:t>
            </w:r>
            <w:r w:rsidR="52454EE2" w:rsidRPr="00806BED">
              <w:rPr>
                <w:color w:val="FF0000"/>
                <w:sz w:val="23"/>
                <w:szCs w:val="23"/>
              </w:rPr>
              <w:t xml:space="preserve"> </w:t>
            </w:r>
            <w:r w:rsidR="52454EE2" w:rsidRPr="00806BED">
              <w:rPr>
                <w:sz w:val="23"/>
                <w:szCs w:val="23"/>
              </w:rPr>
              <w:t>alert</w:t>
            </w:r>
            <w:r w:rsidR="00765859">
              <w:rPr>
                <w:sz w:val="23"/>
                <w:szCs w:val="23"/>
              </w:rPr>
              <w:t>s</w:t>
            </w:r>
            <w:r w:rsidR="52454EE2" w:rsidRPr="00806BED">
              <w:rPr>
                <w:sz w:val="23"/>
                <w:szCs w:val="23"/>
              </w:rPr>
              <w:t xml:space="preserve"> allow NCWorks Career Center staff the ability to designate a jobseeker as banished or suspended</w:t>
            </w:r>
            <w:r w:rsidR="00610D04">
              <w:rPr>
                <w:sz w:val="23"/>
                <w:szCs w:val="23"/>
              </w:rPr>
              <w:t xml:space="preserve"> </w:t>
            </w:r>
            <w:r w:rsidR="001076A7">
              <w:rPr>
                <w:sz w:val="23"/>
                <w:szCs w:val="23"/>
              </w:rPr>
              <w:t>and this</w:t>
            </w:r>
            <w:r w:rsidR="52454EE2" w:rsidRPr="00806BED">
              <w:rPr>
                <w:sz w:val="23"/>
                <w:szCs w:val="23"/>
              </w:rPr>
              <w:t xml:space="preserve"> notification flag</w:t>
            </w:r>
            <w:r w:rsidR="007F47C4" w:rsidRPr="00806BED">
              <w:rPr>
                <w:sz w:val="23"/>
                <w:szCs w:val="23"/>
              </w:rPr>
              <w:t>s</w:t>
            </w:r>
            <w:r w:rsidR="52454EE2" w:rsidRPr="00806BED">
              <w:rPr>
                <w:sz w:val="23"/>
                <w:szCs w:val="23"/>
              </w:rPr>
              <w:t xml:space="preserve"> the jobseeker’s profile in www.ncworks.gov to alert other staff of the status.  </w:t>
            </w:r>
          </w:p>
          <w:p w14:paraId="06D641D2" w14:textId="77777777" w:rsidR="00B93206" w:rsidRPr="00806BED" w:rsidRDefault="00B93206" w:rsidP="334716CC">
            <w:pPr>
              <w:pStyle w:val="BodyTextIndent"/>
              <w:ind w:left="0" w:firstLine="0"/>
              <w:jc w:val="both"/>
              <w:rPr>
                <w:sz w:val="23"/>
                <w:szCs w:val="23"/>
              </w:rPr>
            </w:pPr>
          </w:p>
          <w:p w14:paraId="2EAF467C" w14:textId="0AE70824" w:rsidR="003C3DC4" w:rsidRPr="00806BED" w:rsidRDefault="3F692FC0" w:rsidP="00FA1939">
            <w:pPr>
              <w:pStyle w:val="BodyTextIndent"/>
              <w:ind w:left="0" w:right="15" w:firstLine="0"/>
              <w:jc w:val="both"/>
              <w:rPr>
                <w:sz w:val="23"/>
                <w:szCs w:val="23"/>
              </w:rPr>
            </w:pPr>
            <w:r w:rsidRPr="00806BED">
              <w:rPr>
                <w:spacing w:val="1"/>
                <w:sz w:val="23"/>
                <w:szCs w:val="23"/>
              </w:rPr>
              <w:t>W</w:t>
            </w:r>
            <w:r w:rsidR="5C251DC7" w:rsidRPr="00806BED">
              <w:rPr>
                <w:spacing w:val="1"/>
                <w:sz w:val="23"/>
                <w:szCs w:val="23"/>
              </w:rPr>
              <w:t xml:space="preserve">hen appropriate, </w:t>
            </w:r>
            <w:r w:rsidR="00786D24">
              <w:rPr>
                <w:spacing w:val="1"/>
                <w:sz w:val="23"/>
                <w:szCs w:val="23"/>
              </w:rPr>
              <w:t xml:space="preserve">the Local Area WDB and </w:t>
            </w:r>
            <w:r w:rsidR="38BA51AB" w:rsidRPr="00806BED">
              <w:rPr>
                <w:spacing w:val="1"/>
                <w:sz w:val="23"/>
                <w:szCs w:val="23"/>
              </w:rPr>
              <w:t xml:space="preserve">Career Center management </w:t>
            </w:r>
            <w:r w:rsidR="5C251DC7" w:rsidRPr="00806BED">
              <w:rPr>
                <w:spacing w:val="1"/>
                <w:sz w:val="23"/>
                <w:szCs w:val="23"/>
              </w:rPr>
              <w:t>are encouraged to involve local law enforcement</w:t>
            </w:r>
            <w:r w:rsidR="6F68C7D5" w:rsidRPr="00806BED">
              <w:rPr>
                <w:spacing w:val="1"/>
                <w:sz w:val="23"/>
                <w:szCs w:val="23"/>
              </w:rPr>
              <w:t xml:space="preserve">. </w:t>
            </w:r>
          </w:p>
          <w:p w14:paraId="620F1103" w14:textId="5C889008" w:rsidR="005E09BE" w:rsidRPr="00806BED" w:rsidRDefault="241C561F" w:rsidP="334716CC">
            <w:pPr>
              <w:pStyle w:val="BodyTextIndent"/>
              <w:ind w:left="0"/>
              <w:jc w:val="both"/>
              <w:rPr>
                <w:sz w:val="23"/>
                <w:szCs w:val="23"/>
              </w:rPr>
            </w:pPr>
            <w:r w:rsidRPr="00806BED">
              <w:rPr>
                <w:spacing w:val="1"/>
                <w:sz w:val="23"/>
                <w:szCs w:val="23"/>
              </w:rPr>
              <w:t xml:space="preserve">                </w:t>
            </w:r>
            <w:r w:rsidR="5C5AA4EC" w:rsidRPr="00806BED">
              <w:rPr>
                <w:spacing w:val="1"/>
                <w:sz w:val="23"/>
                <w:szCs w:val="23"/>
              </w:rPr>
              <w:t xml:space="preserve">  </w:t>
            </w:r>
          </w:p>
          <w:p w14:paraId="625D1805" w14:textId="43FFDA39" w:rsidR="00113BE8" w:rsidRPr="00806BED" w:rsidRDefault="00732879" w:rsidP="334716CC">
            <w:pPr>
              <w:pStyle w:val="BodyTextIndent"/>
              <w:ind w:left="0" w:firstLine="0"/>
              <w:jc w:val="both"/>
              <w:rPr>
                <w:sz w:val="23"/>
                <w:szCs w:val="23"/>
              </w:rPr>
            </w:pPr>
            <w:r w:rsidRPr="00806BED">
              <w:rPr>
                <w:spacing w:val="1"/>
                <w:sz w:val="23"/>
                <w:szCs w:val="23"/>
              </w:rPr>
              <w:t xml:space="preserve">Local </w:t>
            </w:r>
            <w:r w:rsidR="00B45D6C" w:rsidRPr="00806BED">
              <w:rPr>
                <w:spacing w:val="1"/>
                <w:sz w:val="23"/>
                <w:szCs w:val="23"/>
              </w:rPr>
              <w:t xml:space="preserve">Area </w:t>
            </w:r>
            <w:r w:rsidR="00786D24">
              <w:rPr>
                <w:spacing w:val="1"/>
                <w:sz w:val="23"/>
                <w:szCs w:val="23"/>
              </w:rPr>
              <w:t xml:space="preserve">WDBs </w:t>
            </w:r>
            <w:r w:rsidRPr="00806BED">
              <w:rPr>
                <w:spacing w:val="1"/>
                <w:sz w:val="23"/>
                <w:szCs w:val="23"/>
              </w:rPr>
              <w:t>shall abide by procedures and standards set forth in these guidelin</w:t>
            </w:r>
            <w:r w:rsidR="00407186" w:rsidRPr="00806BED">
              <w:rPr>
                <w:spacing w:val="1"/>
                <w:sz w:val="23"/>
                <w:szCs w:val="23"/>
              </w:rPr>
              <w:t xml:space="preserve">es and procedures. </w:t>
            </w:r>
            <w:r w:rsidR="72859CE8" w:rsidRPr="00806BED">
              <w:rPr>
                <w:spacing w:val="1"/>
                <w:sz w:val="23"/>
                <w:szCs w:val="23"/>
              </w:rPr>
              <w:t xml:space="preserve"> </w:t>
            </w:r>
            <w:r w:rsidR="72859CE8" w:rsidRPr="00806BED">
              <w:rPr>
                <w:sz w:val="23"/>
                <w:szCs w:val="23"/>
              </w:rPr>
              <w:t>Please refer to the Guide to Managing Code of Conduct Violations for additional policy and procedure information.</w:t>
            </w:r>
            <w:r w:rsidR="00C93FA4">
              <w:rPr>
                <w:sz w:val="23"/>
                <w:szCs w:val="23"/>
              </w:rPr>
              <w:t xml:space="preserve"> It is expected that staff will utilize their discretion, in conjunction with the guidelines, regarding the assessment and treatment of behaviors exhibited in the Career Center.</w:t>
            </w:r>
          </w:p>
          <w:p w14:paraId="770C96FF" w14:textId="65A0FAEF" w:rsidR="00113BE8" w:rsidRPr="00806BED" w:rsidRDefault="00113BE8" w:rsidP="334716CC">
            <w:pPr>
              <w:pStyle w:val="BodyTextIndent"/>
              <w:ind w:left="0" w:firstLine="0"/>
              <w:jc w:val="both"/>
              <w:rPr>
                <w:spacing w:val="1"/>
                <w:sz w:val="23"/>
                <w:szCs w:val="23"/>
              </w:rPr>
            </w:pPr>
          </w:p>
        </w:tc>
      </w:tr>
      <w:tr w:rsidR="00221323" w14:paraId="4CCDA672" w14:textId="77777777" w:rsidTr="00B40190">
        <w:tc>
          <w:tcPr>
            <w:tcW w:w="1602" w:type="dxa"/>
          </w:tcPr>
          <w:p w14:paraId="45EF7C78" w14:textId="77777777" w:rsidR="00221323" w:rsidRPr="00806BED" w:rsidRDefault="00221323" w:rsidP="00261CFA">
            <w:pPr>
              <w:pStyle w:val="BodyTextIndent"/>
              <w:ind w:left="0" w:firstLine="0"/>
              <w:jc w:val="both"/>
              <w:rPr>
                <w:b/>
                <w:bCs/>
                <w:spacing w:val="-3"/>
                <w:sz w:val="23"/>
                <w:szCs w:val="23"/>
              </w:rPr>
            </w:pPr>
            <w:r w:rsidRPr="00806BED">
              <w:rPr>
                <w:b/>
                <w:bCs/>
                <w:spacing w:val="-3"/>
                <w:sz w:val="23"/>
                <w:szCs w:val="23"/>
              </w:rPr>
              <w:t>Effective Date:</w:t>
            </w:r>
          </w:p>
          <w:p w14:paraId="0F86DBAB" w14:textId="77777777" w:rsidR="005822F1" w:rsidRPr="00806BED" w:rsidRDefault="005822F1" w:rsidP="00261CFA">
            <w:pPr>
              <w:pStyle w:val="BodyTextIndent"/>
              <w:ind w:left="0" w:firstLine="0"/>
              <w:jc w:val="both"/>
              <w:rPr>
                <w:b/>
                <w:bCs/>
                <w:spacing w:val="-3"/>
                <w:sz w:val="23"/>
                <w:szCs w:val="23"/>
              </w:rPr>
            </w:pPr>
          </w:p>
        </w:tc>
        <w:tc>
          <w:tcPr>
            <w:tcW w:w="7941" w:type="dxa"/>
          </w:tcPr>
          <w:p w14:paraId="43A5DAF4" w14:textId="77777777" w:rsidR="00221323" w:rsidRPr="00806BED" w:rsidRDefault="00BA6532" w:rsidP="00261CFA">
            <w:pPr>
              <w:pStyle w:val="BodyTextIndent"/>
              <w:ind w:left="0" w:firstLine="0"/>
              <w:jc w:val="both"/>
              <w:rPr>
                <w:bCs/>
                <w:spacing w:val="1"/>
                <w:sz w:val="23"/>
                <w:szCs w:val="23"/>
              </w:rPr>
            </w:pPr>
            <w:r w:rsidRPr="00806BED">
              <w:rPr>
                <w:bCs/>
                <w:spacing w:val="1"/>
                <w:sz w:val="23"/>
                <w:szCs w:val="23"/>
              </w:rPr>
              <w:t>Immediately</w:t>
            </w:r>
          </w:p>
        </w:tc>
      </w:tr>
      <w:tr w:rsidR="00221323" w14:paraId="54967031" w14:textId="77777777" w:rsidTr="00B40190">
        <w:tc>
          <w:tcPr>
            <w:tcW w:w="1602" w:type="dxa"/>
          </w:tcPr>
          <w:p w14:paraId="08773B29" w14:textId="77777777" w:rsidR="00221323" w:rsidRPr="00806BED" w:rsidRDefault="00221323" w:rsidP="00261CFA">
            <w:pPr>
              <w:pStyle w:val="BodyTextIndent"/>
              <w:ind w:left="0" w:firstLine="0"/>
              <w:jc w:val="both"/>
              <w:rPr>
                <w:b/>
                <w:bCs/>
                <w:spacing w:val="-3"/>
                <w:sz w:val="23"/>
                <w:szCs w:val="23"/>
              </w:rPr>
            </w:pPr>
            <w:r w:rsidRPr="00806BED">
              <w:rPr>
                <w:b/>
                <w:bCs/>
                <w:spacing w:val="-3"/>
                <w:sz w:val="23"/>
                <w:szCs w:val="23"/>
              </w:rPr>
              <w:t>Expiration:</w:t>
            </w:r>
          </w:p>
          <w:p w14:paraId="61253BE8" w14:textId="77777777" w:rsidR="005822F1" w:rsidRPr="00806BED" w:rsidRDefault="005822F1" w:rsidP="00261CFA">
            <w:pPr>
              <w:pStyle w:val="BodyTextIndent"/>
              <w:ind w:left="0" w:firstLine="0"/>
              <w:jc w:val="both"/>
              <w:rPr>
                <w:b/>
                <w:bCs/>
                <w:spacing w:val="-3"/>
                <w:sz w:val="23"/>
                <w:szCs w:val="23"/>
              </w:rPr>
            </w:pPr>
          </w:p>
        </w:tc>
        <w:tc>
          <w:tcPr>
            <w:tcW w:w="7941" w:type="dxa"/>
          </w:tcPr>
          <w:p w14:paraId="6C780CF8" w14:textId="77777777" w:rsidR="00221323" w:rsidRPr="00806BED" w:rsidRDefault="00BA6532" w:rsidP="00261CFA">
            <w:pPr>
              <w:pStyle w:val="BodyTextIndent"/>
              <w:ind w:left="0" w:firstLine="0"/>
              <w:jc w:val="both"/>
              <w:rPr>
                <w:bCs/>
                <w:spacing w:val="1"/>
                <w:sz w:val="23"/>
                <w:szCs w:val="23"/>
              </w:rPr>
            </w:pPr>
            <w:r w:rsidRPr="00806BED">
              <w:rPr>
                <w:bCs/>
                <w:spacing w:val="1"/>
                <w:sz w:val="23"/>
                <w:szCs w:val="23"/>
              </w:rPr>
              <w:t>Indefinite</w:t>
            </w:r>
          </w:p>
        </w:tc>
      </w:tr>
      <w:tr w:rsidR="00221323" w14:paraId="2B6858F8" w14:textId="77777777" w:rsidTr="00B40190">
        <w:trPr>
          <w:trHeight w:val="450"/>
        </w:trPr>
        <w:tc>
          <w:tcPr>
            <w:tcW w:w="1602" w:type="dxa"/>
          </w:tcPr>
          <w:p w14:paraId="2A5AE96F" w14:textId="77777777" w:rsidR="00221323" w:rsidRPr="00806BED" w:rsidRDefault="00221323" w:rsidP="00261CFA">
            <w:pPr>
              <w:pStyle w:val="BodyTextIndent"/>
              <w:ind w:left="0" w:firstLine="0"/>
              <w:jc w:val="both"/>
              <w:rPr>
                <w:b/>
                <w:bCs/>
                <w:spacing w:val="-3"/>
                <w:sz w:val="23"/>
                <w:szCs w:val="23"/>
              </w:rPr>
            </w:pPr>
            <w:r w:rsidRPr="00806BED">
              <w:rPr>
                <w:b/>
                <w:bCs/>
                <w:spacing w:val="-3"/>
                <w:sz w:val="23"/>
                <w:szCs w:val="23"/>
              </w:rPr>
              <w:t>Contact:</w:t>
            </w:r>
          </w:p>
          <w:p w14:paraId="7CBA14CC" w14:textId="77777777" w:rsidR="005822F1" w:rsidRPr="00806BED" w:rsidRDefault="005822F1" w:rsidP="00261CFA">
            <w:pPr>
              <w:pStyle w:val="BodyTextIndent"/>
              <w:ind w:left="0" w:firstLine="0"/>
              <w:jc w:val="both"/>
              <w:rPr>
                <w:b/>
                <w:bCs/>
                <w:spacing w:val="-3"/>
                <w:sz w:val="23"/>
                <w:szCs w:val="23"/>
              </w:rPr>
            </w:pPr>
          </w:p>
        </w:tc>
        <w:tc>
          <w:tcPr>
            <w:tcW w:w="7941" w:type="dxa"/>
          </w:tcPr>
          <w:p w14:paraId="09BCCF46" w14:textId="15EF6662" w:rsidR="006E5EE9" w:rsidRPr="00806BED" w:rsidRDefault="00BA6532" w:rsidP="00261CFA">
            <w:pPr>
              <w:pStyle w:val="BodyTextIndent"/>
              <w:ind w:left="0" w:firstLine="0"/>
              <w:jc w:val="both"/>
              <w:rPr>
                <w:sz w:val="23"/>
                <w:szCs w:val="23"/>
              </w:rPr>
            </w:pPr>
            <w:r w:rsidRPr="00806BED">
              <w:rPr>
                <w:spacing w:val="1"/>
                <w:sz w:val="23"/>
                <w:szCs w:val="23"/>
              </w:rPr>
              <w:t>D</w:t>
            </w:r>
            <w:r w:rsidR="00175694">
              <w:rPr>
                <w:spacing w:val="1"/>
                <w:sz w:val="23"/>
                <w:szCs w:val="23"/>
              </w:rPr>
              <w:t xml:space="preserve">WS </w:t>
            </w:r>
            <w:r w:rsidRPr="00806BED">
              <w:rPr>
                <w:spacing w:val="1"/>
                <w:sz w:val="23"/>
                <w:szCs w:val="23"/>
              </w:rPr>
              <w:t xml:space="preserve">Ombudsman </w:t>
            </w:r>
          </w:p>
        </w:tc>
      </w:tr>
      <w:tr w:rsidR="006E5EE9" w14:paraId="556A7C1F" w14:textId="77777777" w:rsidTr="00B40190">
        <w:trPr>
          <w:trHeight w:val="882"/>
        </w:trPr>
        <w:tc>
          <w:tcPr>
            <w:tcW w:w="1602" w:type="dxa"/>
          </w:tcPr>
          <w:p w14:paraId="3F8C3577" w14:textId="1EE30DD6" w:rsidR="001E7A3F" w:rsidRDefault="21539866" w:rsidP="334716CC">
            <w:pPr>
              <w:pStyle w:val="BodyTextIndent"/>
              <w:ind w:left="0" w:firstLine="0"/>
              <w:jc w:val="both"/>
              <w:rPr>
                <w:b/>
                <w:bCs/>
                <w:sz w:val="23"/>
                <w:szCs w:val="23"/>
              </w:rPr>
            </w:pPr>
            <w:r w:rsidRPr="00806BED">
              <w:rPr>
                <w:b/>
                <w:bCs/>
                <w:sz w:val="23"/>
                <w:szCs w:val="23"/>
              </w:rPr>
              <w:t>Attachment</w:t>
            </w:r>
            <w:r w:rsidR="008667B0">
              <w:rPr>
                <w:b/>
                <w:bCs/>
                <w:sz w:val="23"/>
                <w:szCs w:val="23"/>
              </w:rPr>
              <w:t>s</w:t>
            </w:r>
            <w:r w:rsidRPr="00806BED">
              <w:rPr>
                <w:b/>
                <w:bCs/>
                <w:sz w:val="23"/>
                <w:szCs w:val="23"/>
              </w:rPr>
              <w:t>:</w:t>
            </w:r>
          </w:p>
          <w:p w14:paraId="2A7CE1FF" w14:textId="14760A11" w:rsidR="006E5EE9" w:rsidRPr="00806BED" w:rsidRDefault="20F0277A" w:rsidP="334716CC">
            <w:pPr>
              <w:pStyle w:val="BodyTextIndent"/>
              <w:ind w:left="0" w:firstLine="0"/>
              <w:jc w:val="both"/>
              <w:rPr>
                <w:b/>
                <w:bCs/>
                <w:sz w:val="23"/>
                <w:szCs w:val="23"/>
              </w:rPr>
            </w:pPr>
            <w:r w:rsidRPr="00806BED">
              <w:rPr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7941" w:type="dxa"/>
          </w:tcPr>
          <w:p w14:paraId="29A42EE9" w14:textId="3A645D1C" w:rsidR="006E5EE9" w:rsidRPr="00806BED" w:rsidRDefault="00765859" w:rsidP="00261CFA">
            <w:pPr>
              <w:pStyle w:val="BodyTextIndent"/>
              <w:ind w:left="0" w:firstLine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="008667B0">
              <w:rPr>
                <w:sz w:val="23"/>
                <w:szCs w:val="23"/>
              </w:rPr>
              <w:t xml:space="preserve">. </w:t>
            </w:r>
            <w:r w:rsidR="152B5EF6" w:rsidRPr="00806BED">
              <w:rPr>
                <w:sz w:val="23"/>
                <w:szCs w:val="23"/>
              </w:rPr>
              <w:t xml:space="preserve">Guide to </w:t>
            </w:r>
            <w:r w:rsidR="492FB33F" w:rsidRPr="00806BED">
              <w:rPr>
                <w:sz w:val="23"/>
                <w:szCs w:val="23"/>
              </w:rPr>
              <w:t>Managing</w:t>
            </w:r>
            <w:r w:rsidR="00690B75" w:rsidRPr="00806BED">
              <w:rPr>
                <w:sz w:val="23"/>
                <w:szCs w:val="23"/>
              </w:rPr>
              <w:t xml:space="preserve"> NCWorks Career Center</w:t>
            </w:r>
            <w:r w:rsidR="492FB33F" w:rsidRPr="00806BED">
              <w:rPr>
                <w:sz w:val="23"/>
                <w:szCs w:val="23"/>
              </w:rPr>
              <w:t xml:space="preserve"> Code of Conduct</w:t>
            </w:r>
            <w:r w:rsidR="4C2022F1" w:rsidRPr="00806BED">
              <w:rPr>
                <w:sz w:val="23"/>
                <w:szCs w:val="23"/>
              </w:rPr>
              <w:t xml:space="preserve"> Vi</w:t>
            </w:r>
            <w:r w:rsidR="492FB33F" w:rsidRPr="00806BED">
              <w:rPr>
                <w:sz w:val="23"/>
                <w:szCs w:val="23"/>
              </w:rPr>
              <w:t xml:space="preserve">olations </w:t>
            </w:r>
          </w:p>
          <w:p w14:paraId="128A0BF6" w14:textId="3754CF18" w:rsidR="6982BDFA" w:rsidRPr="00806BED" w:rsidRDefault="00765859" w:rsidP="0FA9F4F0">
            <w:pPr>
              <w:pStyle w:val="BodyTextIndent"/>
              <w:ind w:left="0" w:firstLine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  <w:r w:rsidR="008667B0">
              <w:rPr>
                <w:sz w:val="23"/>
                <w:szCs w:val="23"/>
              </w:rPr>
              <w:t xml:space="preserve">. </w:t>
            </w:r>
            <w:r w:rsidR="00C47CC8" w:rsidRPr="00806BED">
              <w:rPr>
                <w:sz w:val="23"/>
                <w:szCs w:val="23"/>
              </w:rPr>
              <w:t xml:space="preserve">NCWorks </w:t>
            </w:r>
            <w:r w:rsidR="6982BDFA" w:rsidRPr="00806BED">
              <w:rPr>
                <w:sz w:val="23"/>
                <w:szCs w:val="23"/>
              </w:rPr>
              <w:t>Career Center Code of Conduct Poster</w:t>
            </w:r>
          </w:p>
          <w:p w14:paraId="1F79BDCB" w14:textId="4B998FFA" w:rsidR="006E5EE9" w:rsidRPr="00806BED" w:rsidRDefault="26861E37" w:rsidP="334716CC">
            <w:pPr>
              <w:pStyle w:val="BodyTextIndent"/>
              <w:ind w:left="0"/>
              <w:jc w:val="both"/>
              <w:rPr>
                <w:sz w:val="23"/>
                <w:szCs w:val="23"/>
              </w:rPr>
            </w:pPr>
            <w:r w:rsidRPr="00806BED">
              <w:rPr>
                <w:sz w:val="23"/>
                <w:szCs w:val="23"/>
              </w:rPr>
              <w:t xml:space="preserve">                      </w:t>
            </w:r>
            <w:r w:rsidR="002F6A4E" w:rsidRPr="00806BED">
              <w:rPr>
                <w:sz w:val="23"/>
                <w:szCs w:val="23"/>
              </w:rPr>
              <w:t xml:space="preserve">  </w:t>
            </w:r>
            <w:r w:rsidR="00311ED2">
              <w:rPr>
                <w:sz w:val="23"/>
                <w:szCs w:val="23"/>
              </w:rPr>
              <w:t xml:space="preserve"> </w:t>
            </w:r>
            <w:r w:rsidR="00765859">
              <w:rPr>
                <w:sz w:val="23"/>
                <w:szCs w:val="23"/>
              </w:rPr>
              <w:t>3</w:t>
            </w:r>
            <w:r w:rsidR="008667B0">
              <w:rPr>
                <w:sz w:val="23"/>
                <w:szCs w:val="23"/>
              </w:rPr>
              <w:t xml:space="preserve">. </w:t>
            </w:r>
            <w:r w:rsidRPr="00806BED">
              <w:rPr>
                <w:sz w:val="23"/>
                <w:szCs w:val="23"/>
              </w:rPr>
              <w:t xml:space="preserve">Template </w:t>
            </w:r>
            <w:r w:rsidR="00827F59" w:rsidRPr="00806BED">
              <w:rPr>
                <w:sz w:val="23"/>
                <w:szCs w:val="23"/>
              </w:rPr>
              <w:t xml:space="preserve">for </w:t>
            </w:r>
            <w:r w:rsidR="00324C76" w:rsidRPr="00806BED">
              <w:rPr>
                <w:sz w:val="23"/>
                <w:szCs w:val="23"/>
              </w:rPr>
              <w:t xml:space="preserve">Suspension or </w:t>
            </w:r>
            <w:r w:rsidR="00827F59" w:rsidRPr="00806BED">
              <w:rPr>
                <w:sz w:val="23"/>
                <w:szCs w:val="23"/>
              </w:rPr>
              <w:t>Banishment Letter</w:t>
            </w:r>
          </w:p>
          <w:p w14:paraId="0F4B8E93" w14:textId="5D3555DE" w:rsidR="006E5EE9" w:rsidRDefault="6EF89841" w:rsidP="334716CC">
            <w:pPr>
              <w:pStyle w:val="BodyTextIndent"/>
              <w:ind w:left="0"/>
              <w:jc w:val="both"/>
              <w:rPr>
                <w:sz w:val="23"/>
                <w:szCs w:val="23"/>
              </w:rPr>
            </w:pPr>
            <w:r w:rsidRPr="00806BED">
              <w:rPr>
                <w:sz w:val="23"/>
                <w:szCs w:val="23"/>
              </w:rPr>
              <w:t xml:space="preserve">                       </w:t>
            </w:r>
            <w:r w:rsidR="00352EC9" w:rsidRPr="00806BED">
              <w:rPr>
                <w:sz w:val="23"/>
                <w:szCs w:val="23"/>
              </w:rPr>
              <w:t xml:space="preserve"> </w:t>
            </w:r>
            <w:r w:rsidR="00311ED2">
              <w:rPr>
                <w:sz w:val="23"/>
                <w:szCs w:val="23"/>
              </w:rPr>
              <w:t xml:space="preserve"> </w:t>
            </w:r>
            <w:r w:rsidR="00765859">
              <w:rPr>
                <w:sz w:val="23"/>
                <w:szCs w:val="23"/>
              </w:rPr>
              <w:t>4</w:t>
            </w:r>
            <w:r w:rsidR="008667B0">
              <w:rPr>
                <w:sz w:val="23"/>
                <w:szCs w:val="23"/>
              </w:rPr>
              <w:t xml:space="preserve">. </w:t>
            </w:r>
            <w:r w:rsidR="00690B75" w:rsidRPr="00806BED">
              <w:rPr>
                <w:sz w:val="23"/>
                <w:szCs w:val="23"/>
              </w:rPr>
              <w:t xml:space="preserve">Template for </w:t>
            </w:r>
            <w:r w:rsidR="003E3177">
              <w:rPr>
                <w:sz w:val="23"/>
                <w:szCs w:val="23"/>
              </w:rPr>
              <w:t xml:space="preserve">Banishment </w:t>
            </w:r>
            <w:r w:rsidR="13F0A4B5" w:rsidRPr="00806BED">
              <w:rPr>
                <w:sz w:val="23"/>
                <w:szCs w:val="23"/>
              </w:rPr>
              <w:t>Concurrence</w:t>
            </w:r>
            <w:r w:rsidR="00E8236F" w:rsidRPr="00806BED">
              <w:rPr>
                <w:sz w:val="23"/>
                <w:szCs w:val="23"/>
              </w:rPr>
              <w:t xml:space="preserve"> Lette</w:t>
            </w:r>
            <w:r w:rsidR="00A52ACC">
              <w:rPr>
                <w:sz w:val="23"/>
                <w:szCs w:val="23"/>
              </w:rPr>
              <w:t>r</w:t>
            </w:r>
          </w:p>
          <w:p w14:paraId="08443E3F" w14:textId="4C87F4FF" w:rsidR="00A52ACC" w:rsidRDefault="00A52ACC" w:rsidP="334716CC">
            <w:pPr>
              <w:pStyle w:val="BodyTextIndent"/>
              <w:ind w:left="0"/>
              <w:jc w:val="both"/>
              <w:rPr>
                <w:sz w:val="23"/>
                <w:szCs w:val="23"/>
              </w:rPr>
            </w:pPr>
            <w:r w:rsidRPr="00806BED">
              <w:rPr>
                <w:sz w:val="23"/>
                <w:szCs w:val="23"/>
              </w:rPr>
              <w:t xml:space="preserve">Template </w:t>
            </w:r>
            <w:r w:rsidR="00F32299">
              <w:rPr>
                <w:sz w:val="23"/>
                <w:szCs w:val="23"/>
              </w:rPr>
              <w:t xml:space="preserve">   </w:t>
            </w:r>
            <w:r w:rsidR="006C4D44">
              <w:rPr>
                <w:sz w:val="23"/>
                <w:szCs w:val="23"/>
              </w:rPr>
              <w:t xml:space="preserve">      5. Template </w:t>
            </w:r>
            <w:r w:rsidR="00F32299">
              <w:rPr>
                <w:sz w:val="23"/>
                <w:szCs w:val="23"/>
              </w:rPr>
              <w:t>for</w:t>
            </w:r>
            <w:r w:rsidRPr="00806BED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Suspension </w:t>
            </w:r>
            <w:r w:rsidRPr="00806BED">
              <w:rPr>
                <w:sz w:val="23"/>
                <w:szCs w:val="23"/>
              </w:rPr>
              <w:t>Concurrence Lette</w:t>
            </w:r>
            <w:r>
              <w:rPr>
                <w:sz w:val="23"/>
                <w:szCs w:val="23"/>
              </w:rPr>
              <w:t>r</w:t>
            </w:r>
          </w:p>
          <w:p w14:paraId="04996921" w14:textId="68D8F1BD" w:rsidR="003E3177" w:rsidRDefault="005F59F4" w:rsidP="334716CC">
            <w:pPr>
              <w:pStyle w:val="BodyTextIndent"/>
              <w:ind w:left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  <w:p w14:paraId="6E175D5D" w14:textId="77777777" w:rsidR="003E3177" w:rsidRPr="00806BED" w:rsidRDefault="003E3177" w:rsidP="334716CC">
            <w:pPr>
              <w:pStyle w:val="BodyTextIndent"/>
              <w:ind w:left="0"/>
              <w:jc w:val="both"/>
              <w:rPr>
                <w:sz w:val="23"/>
                <w:szCs w:val="23"/>
              </w:rPr>
            </w:pPr>
          </w:p>
          <w:p w14:paraId="5DF68573" w14:textId="77777777" w:rsidR="006430D9" w:rsidRPr="00806BED" w:rsidRDefault="006430D9" w:rsidP="00D946FF">
            <w:pPr>
              <w:pStyle w:val="BodyTextIndent"/>
              <w:ind w:left="0" w:firstLine="0"/>
              <w:jc w:val="both"/>
              <w:rPr>
                <w:bCs/>
                <w:spacing w:val="1"/>
                <w:sz w:val="23"/>
                <w:szCs w:val="23"/>
              </w:rPr>
            </w:pPr>
          </w:p>
        </w:tc>
      </w:tr>
      <w:tr w:rsidR="334716CC" w14:paraId="1A1EB56E" w14:textId="77777777" w:rsidTr="00B40190">
        <w:trPr>
          <w:trHeight w:val="882"/>
        </w:trPr>
        <w:tc>
          <w:tcPr>
            <w:tcW w:w="1602" w:type="dxa"/>
          </w:tcPr>
          <w:p w14:paraId="35797303" w14:textId="5D9834E6" w:rsidR="334716CC" w:rsidRDefault="334716CC" w:rsidP="334716CC">
            <w:pPr>
              <w:pStyle w:val="BodyTextIndent"/>
              <w:jc w:val="both"/>
              <w:rPr>
                <w:b/>
                <w:bCs/>
              </w:rPr>
            </w:pPr>
          </w:p>
        </w:tc>
        <w:tc>
          <w:tcPr>
            <w:tcW w:w="7941" w:type="dxa"/>
          </w:tcPr>
          <w:p w14:paraId="4EF242FD" w14:textId="33ACD121" w:rsidR="334716CC" w:rsidRDefault="334716CC" w:rsidP="334716CC">
            <w:pPr>
              <w:pStyle w:val="BodyTextIndent"/>
              <w:jc w:val="both"/>
            </w:pPr>
          </w:p>
        </w:tc>
      </w:tr>
    </w:tbl>
    <w:p w14:paraId="712887F3" w14:textId="77777777" w:rsidR="008B0F2A" w:rsidRDefault="008B0F2A" w:rsidP="008B0F2A">
      <w:pPr>
        <w:spacing w:after="0" w:line="200" w:lineRule="exact"/>
        <w:rPr>
          <w:sz w:val="20"/>
          <w:szCs w:val="20"/>
        </w:rPr>
      </w:pPr>
    </w:p>
    <w:sectPr w:rsidR="008B0F2A" w:rsidSect="008B0F2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1325" w:bottom="230" w:left="1339" w:header="720" w:footer="720" w:gutter="0"/>
      <w:cols w:space="72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647720B" w16cex:dateUtc="2021-03-09T15:27:21.968Z"/>
  <w16cex:commentExtensible w16cex:durableId="758F29B1" w16cex:dateUtc="2021-03-09T15:27:28.409Z"/>
  <w16cex:commentExtensible w16cex:durableId="426490BE" w16cex:dateUtc="2021-03-09T15:27:51.712Z"/>
  <w16cex:commentExtensible w16cex:durableId="671A4F8E" w16cex:dateUtc="2021-03-09T15:28:16.055Z"/>
  <w16cex:commentExtensible w16cex:durableId="3D62F5F9" w16cex:dateUtc="2021-03-09T16:21:32.856Z"/>
  <w16cex:commentExtensible w16cex:durableId="0328F423" w16cex:dateUtc="2021-03-09T16:21:43.081Z"/>
  <w16cex:commentExtensible w16cex:durableId="63100E61" w16cex:dateUtc="2021-03-09T16:22:05.064Z"/>
  <w16cex:commentExtensible w16cex:durableId="6A259FE3" w16cex:dateUtc="2021-03-09T16:23:07.615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2DE5EE" w14:textId="77777777" w:rsidR="00B760A6" w:rsidRDefault="00B760A6" w:rsidP="00221323">
      <w:pPr>
        <w:spacing w:after="0" w:line="240" w:lineRule="auto"/>
      </w:pPr>
      <w:r>
        <w:separator/>
      </w:r>
    </w:p>
  </w:endnote>
  <w:endnote w:type="continuationSeparator" w:id="0">
    <w:p w14:paraId="0A065AB9" w14:textId="77777777" w:rsidR="00B760A6" w:rsidRDefault="00B760A6" w:rsidP="00221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36CA80" w14:textId="77777777" w:rsidR="00FE4564" w:rsidRDefault="00FE45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B5C5EE" w14:textId="77777777" w:rsidR="00221323" w:rsidRDefault="00221323" w:rsidP="00221323">
    <w:pPr>
      <w:spacing w:before="40" w:after="0" w:line="240" w:lineRule="auto"/>
      <w:ind w:left="2761" w:right="2763"/>
      <w:jc w:val="center"/>
      <w:rPr>
        <w:rFonts w:ascii="Times New Roman" w:eastAsia="Times New Roman" w:hAnsi="Times New Roman" w:cs="Times New Roman"/>
        <w:sz w:val="16"/>
        <w:szCs w:val="16"/>
      </w:rPr>
    </w:pPr>
    <w:r>
      <w:rPr>
        <w:rFonts w:ascii="Times New Roman" w:eastAsia="Times New Roman" w:hAnsi="Times New Roman" w:cs="Times New Roman"/>
        <w:spacing w:val="-3"/>
        <w:sz w:val="16"/>
        <w:szCs w:val="16"/>
      </w:rPr>
      <w:t>A</w:t>
    </w:r>
    <w:r>
      <w:rPr>
        <w:rFonts w:ascii="Times New Roman" w:eastAsia="Times New Roman" w:hAnsi="Times New Roman" w:cs="Times New Roman"/>
        <w:sz w:val="16"/>
        <w:szCs w:val="16"/>
      </w:rPr>
      <w:t>n</w:t>
    </w:r>
    <w:r>
      <w:rPr>
        <w:rFonts w:ascii="Times New Roman" w:eastAsia="Times New Roman" w:hAnsi="Times New Roman" w:cs="Times New Roman"/>
        <w:spacing w:val="2"/>
        <w:sz w:val="16"/>
        <w:szCs w:val="16"/>
      </w:rPr>
      <w:t xml:space="preserve"> </w:t>
    </w:r>
    <w:r>
      <w:rPr>
        <w:rFonts w:ascii="Times New Roman" w:eastAsia="Times New Roman" w:hAnsi="Times New Roman" w:cs="Times New Roman"/>
        <w:sz w:val="16"/>
        <w:szCs w:val="16"/>
      </w:rPr>
      <w:t>E</w:t>
    </w:r>
    <w:r>
      <w:rPr>
        <w:rFonts w:ascii="Times New Roman" w:eastAsia="Times New Roman" w:hAnsi="Times New Roman" w:cs="Times New Roman"/>
        <w:spacing w:val="1"/>
        <w:sz w:val="16"/>
        <w:szCs w:val="16"/>
      </w:rPr>
      <w:t>q</w:t>
    </w:r>
    <w:r>
      <w:rPr>
        <w:rFonts w:ascii="Times New Roman" w:eastAsia="Times New Roman" w:hAnsi="Times New Roman" w:cs="Times New Roman"/>
        <w:spacing w:val="-1"/>
        <w:sz w:val="16"/>
        <w:szCs w:val="16"/>
      </w:rPr>
      <w:t>u</w:t>
    </w:r>
    <w:r>
      <w:rPr>
        <w:rFonts w:ascii="Times New Roman" w:eastAsia="Times New Roman" w:hAnsi="Times New Roman" w:cs="Times New Roman"/>
        <w:spacing w:val="1"/>
        <w:sz w:val="16"/>
        <w:szCs w:val="16"/>
      </w:rPr>
      <w:t>a</w:t>
    </w:r>
    <w:r>
      <w:rPr>
        <w:rFonts w:ascii="Times New Roman" w:eastAsia="Times New Roman" w:hAnsi="Times New Roman" w:cs="Times New Roman"/>
        <w:sz w:val="16"/>
        <w:szCs w:val="16"/>
      </w:rPr>
      <w:t>l</w:t>
    </w:r>
    <w:r>
      <w:rPr>
        <w:rFonts w:ascii="Times New Roman" w:eastAsia="Times New Roman" w:hAnsi="Times New Roman" w:cs="Times New Roman"/>
        <w:spacing w:val="-1"/>
        <w:sz w:val="16"/>
        <w:szCs w:val="16"/>
      </w:rPr>
      <w:t xml:space="preserve"> Op</w:t>
    </w:r>
    <w:r>
      <w:rPr>
        <w:rFonts w:ascii="Times New Roman" w:eastAsia="Times New Roman" w:hAnsi="Times New Roman" w:cs="Times New Roman"/>
        <w:spacing w:val="1"/>
        <w:sz w:val="16"/>
        <w:szCs w:val="16"/>
      </w:rPr>
      <w:t>p</w:t>
    </w:r>
    <w:r>
      <w:rPr>
        <w:rFonts w:ascii="Times New Roman" w:eastAsia="Times New Roman" w:hAnsi="Times New Roman" w:cs="Times New Roman"/>
        <w:spacing w:val="-1"/>
        <w:sz w:val="16"/>
        <w:szCs w:val="16"/>
      </w:rPr>
      <w:t>or</w:t>
    </w:r>
    <w:r>
      <w:rPr>
        <w:rFonts w:ascii="Times New Roman" w:eastAsia="Times New Roman" w:hAnsi="Times New Roman" w:cs="Times New Roman"/>
        <w:spacing w:val="1"/>
        <w:sz w:val="16"/>
        <w:szCs w:val="16"/>
      </w:rPr>
      <w:t>t</w:t>
    </w:r>
    <w:r>
      <w:rPr>
        <w:rFonts w:ascii="Times New Roman" w:eastAsia="Times New Roman" w:hAnsi="Times New Roman" w:cs="Times New Roman"/>
        <w:spacing w:val="-1"/>
        <w:sz w:val="16"/>
        <w:szCs w:val="16"/>
      </w:rPr>
      <w:t>un</w:t>
    </w:r>
    <w:r>
      <w:rPr>
        <w:rFonts w:ascii="Times New Roman" w:eastAsia="Times New Roman" w:hAnsi="Times New Roman" w:cs="Times New Roman"/>
        <w:spacing w:val="1"/>
        <w:sz w:val="16"/>
        <w:szCs w:val="16"/>
      </w:rPr>
      <w:t>it</w:t>
    </w:r>
    <w:r>
      <w:rPr>
        <w:rFonts w:ascii="Times New Roman" w:eastAsia="Times New Roman" w:hAnsi="Times New Roman" w:cs="Times New Roman"/>
        <w:spacing w:val="-4"/>
        <w:sz w:val="16"/>
        <w:szCs w:val="16"/>
      </w:rPr>
      <w:t>y</w:t>
    </w:r>
    <w:r>
      <w:rPr>
        <w:rFonts w:ascii="Times New Roman" w:eastAsia="Times New Roman" w:hAnsi="Times New Roman" w:cs="Times New Roman"/>
        <w:spacing w:val="1"/>
        <w:sz w:val="16"/>
        <w:szCs w:val="16"/>
      </w:rPr>
      <w:t>/</w:t>
    </w:r>
    <w:r>
      <w:rPr>
        <w:rFonts w:ascii="Times New Roman" w:eastAsia="Times New Roman" w:hAnsi="Times New Roman" w:cs="Times New Roman"/>
        <w:spacing w:val="-3"/>
        <w:sz w:val="16"/>
        <w:szCs w:val="16"/>
      </w:rPr>
      <w:t>A</w:t>
    </w:r>
    <w:r>
      <w:rPr>
        <w:rFonts w:ascii="Times New Roman" w:eastAsia="Times New Roman" w:hAnsi="Times New Roman" w:cs="Times New Roman"/>
        <w:spacing w:val="-1"/>
        <w:sz w:val="16"/>
        <w:szCs w:val="16"/>
      </w:rPr>
      <w:t>ff</w:t>
    </w:r>
    <w:r>
      <w:rPr>
        <w:rFonts w:ascii="Times New Roman" w:eastAsia="Times New Roman" w:hAnsi="Times New Roman" w:cs="Times New Roman"/>
        <w:spacing w:val="1"/>
        <w:sz w:val="16"/>
        <w:szCs w:val="16"/>
      </w:rPr>
      <w:t>i</w:t>
    </w:r>
    <w:r>
      <w:rPr>
        <w:rFonts w:ascii="Times New Roman" w:eastAsia="Times New Roman" w:hAnsi="Times New Roman" w:cs="Times New Roman"/>
        <w:spacing w:val="-1"/>
        <w:sz w:val="16"/>
        <w:szCs w:val="16"/>
      </w:rPr>
      <w:t>r</w:t>
    </w:r>
    <w:r>
      <w:rPr>
        <w:rFonts w:ascii="Times New Roman" w:eastAsia="Times New Roman" w:hAnsi="Times New Roman" w:cs="Times New Roman"/>
        <w:sz w:val="16"/>
        <w:szCs w:val="16"/>
      </w:rPr>
      <w:t>m</w:t>
    </w:r>
    <w:r>
      <w:rPr>
        <w:rFonts w:ascii="Times New Roman" w:eastAsia="Times New Roman" w:hAnsi="Times New Roman" w:cs="Times New Roman"/>
        <w:spacing w:val="1"/>
        <w:sz w:val="16"/>
        <w:szCs w:val="16"/>
      </w:rPr>
      <w:t>ati</w:t>
    </w:r>
    <w:r>
      <w:rPr>
        <w:rFonts w:ascii="Times New Roman" w:eastAsia="Times New Roman" w:hAnsi="Times New Roman" w:cs="Times New Roman"/>
        <w:spacing w:val="-1"/>
        <w:sz w:val="16"/>
        <w:szCs w:val="16"/>
      </w:rPr>
      <w:t>v</w:t>
    </w:r>
    <w:r>
      <w:rPr>
        <w:rFonts w:ascii="Times New Roman" w:eastAsia="Times New Roman" w:hAnsi="Times New Roman" w:cs="Times New Roman"/>
        <w:sz w:val="16"/>
        <w:szCs w:val="16"/>
      </w:rPr>
      <w:t>e</w:t>
    </w:r>
    <w:r>
      <w:rPr>
        <w:rFonts w:ascii="Times New Roman" w:eastAsia="Times New Roman" w:hAnsi="Times New Roman" w:cs="Times New Roman"/>
        <w:spacing w:val="-1"/>
        <w:sz w:val="16"/>
        <w:szCs w:val="16"/>
      </w:rPr>
      <w:t xml:space="preserve"> A</w:t>
    </w:r>
    <w:r>
      <w:rPr>
        <w:rFonts w:ascii="Times New Roman" w:eastAsia="Times New Roman" w:hAnsi="Times New Roman" w:cs="Times New Roman"/>
        <w:spacing w:val="1"/>
        <w:sz w:val="16"/>
        <w:szCs w:val="16"/>
      </w:rPr>
      <w:t>cti</w:t>
    </w:r>
    <w:r>
      <w:rPr>
        <w:rFonts w:ascii="Times New Roman" w:eastAsia="Times New Roman" w:hAnsi="Times New Roman" w:cs="Times New Roman"/>
        <w:spacing w:val="-4"/>
        <w:sz w:val="16"/>
        <w:szCs w:val="16"/>
      </w:rPr>
      <w:t>o</w:t>
    </w:r>
    <w:r>
      <w:rPr>
        <w:rFonts w:ascii="Times New Roman" w:eastAsia="Times New Roman" w:hAnsi="Times New Roman" w:cs="Times New Roman"/>
        <w:sz w:val="16"/>
        <w:szCs w:val="16"/>
      </w:rPr>
      <w:t>n</w:t>
    </w:r>
    <w:r>
      <w:rPr>
        <w:rFonts w:ascii="Times New Roman" w:eastAsia="Times New Roman" w:hAnsi="Times New Roman" w:cs="Times New Roman"/>
        <w:spacing w:val="2"/>
        <w:sz w:val="16"/>
        <w:szCs w:val="16"/>
      </w:rPr>
      <w:t xml:space="preserve"> </w:t>
    </w:r>
    <w:r>
      <w:rPr>
        <w:rFonts w:ascii="Times New Roman" w:eastAsia="Times New Roman" w:hAnsi="Times New Roman" w:cs="Times New Roman"/>
        <w:sz w:val="16"/>
        <w:szCs w:val="16"/>
      </w:rPr>
      <w:t>E</w:t>
    </w:r>
    <w:r>
      <w:rPr>
        <w:rFonts w:ascii="Times New Roman" w:eastAsia="Times New Roman" w:hAnsi="Times New Roman" w:cs="Times New Roman"/>
        <w:spacing w:val="-3"/>
        <w:sz w:val="16"/>
        <w:szCs w:val="16"/>
      </w:rPr>
      <w:t>m</w:t>
    </w:r>
    <w:r>
      <w:rPr>
        <w:rFonts w:ascii="Times New Roman" w:eastAsia="Times New Roman" w:hAnsi="Times New Roman" w:cs="Times New Roman"/>
        <w:spacing w:val="1"/>
        <w:sz w:val="16"/>
        <w:szCs w:val="16"/>
      </w:rPr>
      <w:t>p</w:t>
    </w:r>
    <w:r>
      <w:rPr>
        <w:rFonts w:ascii="Times New Roman" w:eastAsia="Times New Roman" w:hAnsi="Times New Roman" w:cs="Times New Roman"/>
        <w:spacing w:val="-1"/>
        <w:sz w:val="16"/>
        <w:szCs w:val="16"/>
      </w:rPr>
      <w:t>loy</w:t>
    </w:r>
    <w:r>
      <w:rPr>
        <w:rFonts w:ascii="Times New Roman" w:eastAsia="Times New Roman" w:hAnsi="Times New Roman" w:cs="Times New Roman"/>
        <w:spacing w:val="-2"/>
        <w:sz w:val="16"/>
        <w:szCs w:val="16"/>
      </w:rPr>
      <w:t>e</w:t>
    </w:r>
    <w:r>
      <w:rPr>
        <w:rFonts w:ascii="Times New Roman" w:eastAsia="Times New Roman" w:hAnsi="Times New Roman" w:cs="Times New Roman"/>
        <w:spacing w:val="-1"/>
        <w:sz w:val="16"/>
        <w:szCs w:val="16"/>
      </w:rPr>
      <w:t>r</w:t>
    </w:r>
    <w:r>
      <w:rPr>
        <w:rFonts w:ascii="Times New Roman" w:eastAsia="Times New Roman" w:hAnsi="Times New Roman" w:cs="Times New Roman"/>
        <w:spacing w:val="1"/>
        <w:sz w:val="16"/>
        <w:szCs w:val="16"/>
      </w:rPr>
      <w:t>/</w:t>
    </w:r>
    <w:r>
      <w:rPr>
        <w:rFonts w:ascii="Times New Roman" w:eastAsia="Times New Roman" w:hAnsi="Times New Roman" w:cs="Times New Roman"/>
        <w:spacing w:val="-1"/>
        <w:sz w:val="16"/>
        <w:szCs w:val="16"/>
      </w:rPr>
      <w:t>Pro</w:t>
    </w:r>
    <w:r>
      <w:rPr>
        <w:rFonts w:ascii="Times New Roman" w:eastAsia="Times New Roman" w:hAnsi="Times New Roman" w:cs="Times New Roman"/>
        <w:spacing w:val="1"/>
        <w:sz w:val="16"/>
        <w:szCs w:val="16"/>
      </w:rPr>
      <w:t>g</w:t>
    </w:r>
    <w:r>
      <w:rPr>
        <w:rFonts w:ascii="Times New Roman" w:eastAsia="Times New Roman" w:hAnsi="Times New Roman" w:cs="Times New Roman"/>
        <w:spacing w:val="-1"/>
        <w:sz w:val="16"/>
        <w:szCs w:val="16"/>
      </w:rPr>
      <w:t>r</w:t>
    </w:r>
    <w:r>
      <w:rPr>
        <w:rFonts w:ascii="Times New Roman" w:eastAsia="Times New Roman" w:hAnsi="Times New Roman" w:cs="Times New Roman"/>
        <w:spacing w:val="1"/>
        <w:sz w:val="16"/>
        <w:szCs w:val="16"/>
      </w:rPr>
      <w:t>a</w:t>
    </w:r>
    <w:r>
      <w:rPr>
        <w:rFonts w:ascii="Times New Roman" w:eastAsia="Times New Roman" w:hAnsi="Times New Roman" w:cs="Times New Roman"/>
        <w:sz w:val="16"/>
        <w:szCs w:val="16"/>
      </w:rPr>
      <w:t>m</w:t>
    </w:r>
  </w:p>
  <w:p w14:paraId="67773511" w14:textId="77777777" w:rsidR="00221323" w:rsidRPr="00221323" w:rsidRDefault="00221323" w:rsidP="00221323">
    <w:pPr>
      <w:spacing w:after="0" w:line="182" w:lineRule="exact"/>
      <w:ind w:left="2151" w:right="2151"/>
      <w:jc w:val="center"/>
      <w:rPr>
        <w:rFonts w:ascii="Times New Roman" w:eastAsia="Times New Roman" w:hAnsi="Times New Roman" w:cs="Times New Roman"/>
        <w:sz w:val="16"/>
        <w:szCs w:val="16"/>
      </w:rPr>
    </w:pPr>
    <w:r>
      <w:rPr>
        <w:rFonts w:ascii="Times New Roman" w:eastAsia="Times New Roman" w:hAnsi="Times New Roman" w:cs="Times New Roman"/>
        <w:spacing w:val="-3"/>
        <w:sz w:val="16"/>
        <w:szCs w:val="16"/>
      </w:rPr>
      <w:t>A</w:t>
    </w:r>
    <w:r>
      <w:rPr>
        <w:rFonts w:ascii="Times New Roman" w:eastAsia="Times New Roman" w:hAnsi="Times New Roman" w:cs="Times New Roman"/>
        <w:spacing w:val="1"/>
        <w:sz w:val="16"/>
        <w:szCs w:val="16"/>
      </w:rPr>
      <w:t>u</w:t>
    </w:r>
    <w:r>
      <w:rPr>
        <w:rFonts w:ascii="Times New Roman" w:eastAsia="Times New Roman" w:hAnsi="Times New Roman" w:cs="Times New Roman"/>
        <w:spacing w:val="-1"/>
        <w:sz w:val="16"/>
        <w:szCs w:val="16"/>
      </w:rPr>
      <w:t>x</w:t>
    </w:r>
    <w:r>
      <w:rPr>
        <w:rFonts w:ascii="Times New Roman" w:eastAsia="Times New Roman" w:hAnsi="Times New Roman" w:cs="Times New Roman"/>
        <w:spacing w:val="1"/>
        <w:sz w:val="16"/>
        <w:szCs w:val="16"/>
      </w:rPr>
      <w:t>i</w:t>
    </w:r>
    <w:r>
      <w:rPr>
        <w:rFonts w:ascii="Times New Roman" w:eastAsia="Times New Roman" w:hAnsi="Times New Roman" w:cs="Times New Roman"/>
        <w:spacing w:val="-1"/>
        <w:sz w:val="16"/>
        <w:szCs w:val="16"/>
      </w:rPr>
      <w:t>l</w:t>
    </w:r>
    <w:r>
      <w:rPr>
        <w:rFonts w:ascii="Times New Roman" w:eastAsia="Times New Roman" w:hAnsi="Times New Roman" w:cs="Times New Roman"/>
        <w:spacing w:val="1"/>
        <w:sz w:val="16"/>
        <w:szCs w:val="16"/>
      </w:rPr>
      <w:t>ia</w:t>
    </w:r>
    <w:r>
      <w:rPr>
        <w:rFonts w:ascii="Times New Roman" w:eastAsia="Times New Roman" w:hAnsi="Times New Roman" w:cs="Times New Roman"/>
        <w:spacing w:val="2"/>
        <w:sz w:val="16"/>
        <w:szCs w:val="16"/>
      </w:rPr>
      <w:t>r</w:t>
    </w:r>
    <w:r>
      <w:rPr>
        <w:rFonts w:ascii="Times New Roman" w:eastAsia="Times New Roman" w:hAnsi="Times New Roman" w:cs="Times New Roman"/>
        <w:sz w:val="16"/>
        <w:szCs w:val="16"/>
      </w:rPr>
      <w:t>y</w:t>
    </w:r>
    <w:r>
      <w:rPr>
        <w:rFonts w:ascii="Times New Roman" w:eastAsia="Times New Roman" w:hAnsi="Times New Roman" w:cs="Times New Roman"/>
        <w:spacing w:val="-3"/>
        <w:sz w:val="16"/>
        <w:szCs w:val="16"/>
      </w:rPr>
      <w:t xml:space="preserve"> </w:t>
    </w:r>
    <w:r>
      <w:rPr>
        <w:rFonts w:ascii="Times New Roman" w:eastAsia="Times New Roman" w:hAnsi="Times New Roman" w:cs="Times New Roman"/>
        <w:spacing w:val="1"/>
        <w:sz w:val="16"/>
        <w:szCs w:val="16"/>
      </w:rPr>
      <w:t>aid</w:t>
    </w:r>
    <w:r>
      <w:rPr>
        <w:rFonts w:ascii="Times New Roman" w:eastAsia="Times New Roman" w:hAnsi="Times New Roman" w:cs="Times New Roman"/>
        <w:sz w:val="16"/>
        <w:szCs w:val="16"/>
      </w:rPr>
      <w:t>s</w:t>
    </w:r>
    <w:r>
      <w:rPr>
        <w:rFonts w:ascii="Times New Roman" w:eastAsia="Times New Roman" w:hAnsi="Times New Roman" w:cs="Times New Roman"/>
        <w:spacing w:val="-2"/>
        <w:sz w:val="16"/>
        <w:szCs w:val="16"/>
      </w:rPr>
      <w:t xml:space="preserve"> a</w:t>
    </w:r>
    <w:r>
      <w:rPr>
        <w:rFonts w:ascii="Times New Roman" w:eastAsia="Times New Roman" w:hAnsi="Times New Roman" w:cs="Times New Roman"/>
        <w:spacing w:val="1"/>
        <w:sz w:val="16"/>
        <w:szCs w:val="16"/>
      </w:rPr>
      <w:t>n</w:t>
    </w:r>
    <w:r>
      <w:rPr>
        <w:rFonts w:ascii="Times New Roman" w:eastAsia="Times New Roman" w:hAnsi="Times New Roman" w:cs="Times New Roman"/>
        <w:sz w:val="16"/>
        <w:szCs w:val="16"/>
      </w:rPr>
      <w:t>d s</w:t>
    </w:r>
    <w:r>
      <w:rPr>
        <w:rFonts w:ascii="Times New Roman" w:eastAsia="Times New Roman" w:hAnsi="Times New Roman" w:cs="Times New Roman"/>
        <w:spacing w:val="-2"/>
        <w:sz w:val="16"/>
        <w:szCs w:val="16"/>
      </w:rPr>
      <w:t>e</w:t>
    </w:r>
    <w:r>
      <w:rPr>
        <w:rFonts w:ascii="Times New Roman" w:eastAsia="Times New Roman" w:hAnsi="Times New Roman" w:cs="Times New Roman"/>
        <w:spacing w:val="-1"/>
        <w:sz w:val="16"/>
        <w:szCs w:val="16"/>
      </w:rPr>
      <w:t>rv</w:t>
    </w:r>
    <w:r>
      <w:rPr>
        <w:rFonts w:ascii="Times New Roman" w:eastAsia="Times New Roman" w:hAnsi="Times New Roman" w:cs="Times New Roman"/>
        <w:spacing w:val="1"/>
        <w:sz w:val="16"/>
        <w:szCs w:val="16"/>
      </w:rPr>
      <w:t>ic</w:t>
    </w:r>
    <w:r>
      <w:rPr>
        <w:rFonts w:ascii="Times New Roman" w:eastAsia="Times New Roman" w:hAnsi="Times New Roman" w:cs="Times New Roman"/>
        <w:spacing w:val="-2"/>
        <w:sz w:val="16"/>
        <w:szCs w:val="16"/>
      </w:rPr>
      <w:t>e</w:t>
    </w:r>
    <w:r>
      <w:rPr>
        <w:rFonts w:ascii="Times New Roman" w:eastAsia="Times New Roman" w:hAnsi="Times New Roman" w:cs="Times New Roman"/>
        <w:sz w:val="16"/>
        <w:szCs w:val="16"/>
      </w:rPr>
      <w:t>s</w:t>
    </w:r>
    <w:r>
      <w:rPr>
        <w:rFonts w:ascii="Times New Roman" w:eastAsia="Times New Roman" w:hAnsi="Times New Roman" w:cs="Times New Roman"/>
        <w:spacing w:val="1"/>
        <w:sz w:val="16"/>
        <w:szCs w:val="16"/>
      </w:rPr>
      <w:t xml:space="preserve"> a</w:t>
    </w:r>
    <w:r>
      <w:rPr>
        <w:rFonts w:ascii="Times New Roman" w:eastAsia="Times New Roman" w:hAnsi="Times New Roman" w:cs="Times New Roman"/>
        <w:spacing w:val="-1"/>
        <w:sz w:val="16"/>
        <w:szCs w:val="16"/>
      </w:rPr>
      <w:t>v</w:t>
    </w:r>
    <w:r>
      <w:rPr>
        <w:rFonts w:ascii="Times New Roman" w:eastAsia="Times New Roman" w:hAnsi="Times New Roman" w:cs="Times New Roman"/>
        <w:spacing w:val="1"/>
        <w:sz w:val="16"/>
        <w:szCs w:val="16"/>
      </w:rPr>
      <w:t>ai</w:t>
    </w:r>
    <w:r>
      <w:rPr>
        <w:rFonts w:ascii="Times New Roman" w:eastAsia="Times New Roman" w:hAnsi="Times New Roman" w:cs="Times New Roman"/>
        <w:spacing w:val="-1"/>
        <w:sz w:val="16"/>
        <w:szCs w:val="16"/>
      </w:rPr>
      <w:t>l</w:t>
    </w:r>
    <w:r>
      <w:rPr>
        <w:rFonts w:ascii="Times New Roman" w:eastAsia="Times New Roman" w:hAnsi="Times New Roman" w:cs="Times New Roman"/>
        <w:spacing w:val="-2"/>
        <w:sz w:val="16"/>
        <w:szCs w:val="16"/>
      </w:rPr>
      <w:t>a</w:t>
    </w:r>
    <w:r>
      <w:rPr>
        <w:rFonts w:ascii="Times New Roman" w:eastAsia="Times New Roman" w:hAnsi="Times New Roman" w:cs="Times New Roman"/>
        <w:spacing w:val="1"/>
        <w:sz w:val="16"/>
        <w:szCs w:val="16"/>
      </w:rPr>
      <w:t>b</w:t>
    </w:r>
    <w:r>
      <w:rPr>
        <w:rFonts w:ascii="Times New Roman" w:eastAsia="Times New Roman" w:hAnsi="Times New Roman" w:cs="Times New Roman"/>
        <w:spacing w:val="-1"/>
        <w:sz w:val="16"/>
        <w:szCs w:val="16"/>
      </w:rPr>
      <w:t>l</w:t>
    </w:r>
    <w:r>
      <w:rPr>
        <w:rFonts w:ascii="Times New Roman" w:eastAsia="Times New Roman" w:hAnsi="Times New Roman" w:cs="Times New Roman"/>
        <w:sz w:val="16"/>
        <w:szCs w:val="16"/>
      </w:rPr>
      <w:t>e</w:t>
    </w:r>
    <w:r>
      <w:rPr>
        <w:rFonts w:ascii="Times New Roman" w:eastAsia="Times New Roman" w:hAnsi="Times New Roman" w:cs="Times New Roman"/>
        <w:spacing w:val="-1"/>
        <w:sz w:val="16"/>
        <w:szCs w:val="16"/>
      </w:rPr>
      <w:t xml:space="preserve"> </w:t>
    </w:r>
    <w:r>
      <w:rPr>
        <w:rFonts w:ascii="Times New Roman" w:eastAsia="Times New Roman" w:hAnsi="Times New Roman" w:cs="Times New Roman"/>
        <w:spacing w:val="1"/>
        <w:sz w:val="16"/>
        <w:szCs w:val="16"/>
      </w:rPr>
      <w:t>up</w:t>
    </w:r>
    <w:r>
      <w:rPr>
        <w:rFonts w:ascii="Times New Roman" w:eastAsia="Times New Roman" w:hAnsi="Times New Roman" w:cs="Times New Roman"/>
        <w:spacing w:val="-4"/>
        <w:sz w:val="16"/>
        <w:szCs w:val="16"/>
      </w:rPr>
      <w:t>o</w:t>
    </w:r>
    <w:r>
      <w:rPr>
        <w:rFonts w:ascii="Times New Roman" w:eastAsia="Times New Roman" w:hAnsi="Times New Roman" w:cs="Times New Roman"/>
        <w:sz w:val="16"/>
        <w:szCs w:val="16"/>
      </w:rPr>
      <w:t>n</w:t>
    </w:r>
    <w:r>
      <w:rPr>
        <w:rFonts w:ascii="Times New Roman" w:eastAsia="Times New Roman" w:hAnsi="Times New Roman" w:cs="Times New Roman"/>
        <w:spacing w:val="2"/>
        <w:sz w:val="16"/>
        <w:szCs w:val="16"/>
      </w:rPr>
      <w:t xml:space="preserve"> </w:t>
    </w:r>
    <w:r>
      <w:rPr>
        <w:rFonts w:ascii="Times New Roman" w:eastAsia="Times New Roman" w:hAnsi="Times New Roman" w:cs="Times New Roman"/>
        <w:spacing w:val="-1"/>
        <w:sz w:val="16"/>
        <w:szCs w:val="16"/>
      </w:rPr>
      <w:t>r</w:t>
    </w:r>
    <w:r>
      <w:rPr>
        <w:rFonts w:ascii="Times New Roman" w:eastAsia="Times New Roman" w:hAnsi="Times New Roman" w:cs="Times New Roman"/>
        <w:spacing w:val="-2"/>
        <w:sz w:val="16"/>
        <w:szCs w:val="16"/>
      </w:rPr>
      <w:t>e</w:t>
    </w:r>
    <w:r>
      <w:rPr>
        <w:rFonts w:ascii="Times New Roman" w:eastAsia="Times New Roman" w:hAnsi="Times New Roman" w:cs="Times New Roman"/>
        <w:spacing w:val="-1"/>
        <w:sz w:val="16"/>
        <w:szCs w:val="16"/>
      </w:rPr>
      <w:t>q</w:t>
    </w:r>
    <w:r>
      <w:rPr>
        <w:rFonts w:ascii="Times New Roman" w:eastAsia="Times New Roman" w:hAnsi="Times New Roman" w:cs="Times New Roman"/>
        <w:spacing w:val="1"/>
        <w:sz w:val="16"/>
        <w:szCs w:val="16"/>
      </w:rPr>
      <w:t>u</w:t>
    </w:r>
    <w:r>
      <w:rPr>
        <w:rFonts w:ascii="Times New Roman" w:eastAsia="Times New Roman" w:hAnsi="Times New Roman" w:cs="Times New Roman"/>
        <w:spacing w:val="-2"/>
        <w:sz w:val="16"/>
        <w:szCs w:val="16"/>
      </w:rPr>
      <w:t>e</w:t>
    </w:r>
    <w:r>
      <w:rPr>
        <w:rFonts w:ascii="Times New Roman" w:eastAsia="Times New Roman" w:hAnsi="Times New Roman" w:cs="Times New Roman"/>
        <w:sz w:val="16"/>
        <w:szCs w:val="16"/>
      </w:rPr>
      <w:t>st</w:t>
    </w:r>
    <w:r>
      <w:rPr>
        <w:rFonts w:ascii="Times New Roman" w:eastAsia="Times New Roman" w:hAnsi="Times New Roman" w:cs="Times New Roman"/>
        <w:spacing w:val="2"/>
        <w:sz w:val="16"/>
        <w:szCs w:val="16"/>
      </w:rPr>
      <w:t xml:space="preserve"> </w:t>
    </w:r>
    <w:r>
      <w:rPr>
        <w:rFonts w:ascii="Times New Roman" w:eastAsia="Times New Roman" w:hAnsi="Times New Roman" w:cs="Times New Roman"/>
        <w:spacing w:val="1"/>
        <w:sz w:val="16"/>
        <w:szCs w:val="16"/>
      </w:rPr>
      <w:t>t</w:t>
    </w:r>
    <w:r>
      <w:rPr>
        <w:rFonts w:ascii="Times New Roman" w:eastAsia="Times New Roman" w:hAnsi="Times New Roman" w:cs="Times New Roman"/>
        <w:sz w:val="16"/>
        <w:szCs w:val="16"/>
      </w:rPr>
      <w:t>o</w:t>
    </w:r>
    <w:r>
      <w:rPr>
        <w:rFonts w:ascii="Times New Roman" w:eastAsia="Times New Roman" w:hAnsi="Times New Roman" w:cs="Times New Roman"/>
        <w:spacing w:val="-3"/>
        <w:sz w:val="16"/>
        <w:szCs w:val="16"/>
      </w:rPr>
      <w:t xml:space="preserve"> </w:t>
    </w:r>
    <w:r>
      <w:rPr>
        <w:rFonts w:ascii="Times New Roman" w:eastAsia="Times New Roman" w:hAnsi="Times New Roman" w:cs="Times New Roman"/>
        <w:spacing w:val="1"/>
        <w:sz w:val="16"/>
        <w:szCs w:val="16"/>
      </w:rPr>
      <w:t>i</w:t>
    </w:r>
    <w:r>
      <w:rPr>
        <w:rFonts w:ascii="Times New Roman" w:eastAsia="Times New Roman" w:hAnsi="Times New Roman" w:cs="Times New Roman"/>
        <w:spacing w:val="-1"/>
        <w:sz w:val="16"/>
        <w:szCs w:val="16"/>
      </w:rPr>
      <w:t>nd</w:t>
    </w:r>
    <w:r>
      <w:rPr>
        <w:rFonts w:ascii="Times New Roman" w:eastAsia="Times New Roman" w:hAnsi="Times New Roman" w:cs="Times New Roman"/>
        <w:spacing w:val="1"/>
        <w:sz w:val="16"/>
        <w:szCs w:val="16"/>
      </w:rPr>
      <w:t>i</w:t>
    </w:r>
    <w:r>
      <w:rPr>
        <w:rFonts w:ascii="Times New Roman" w:eastAsia="Times New Roman" w:hAnsi="Times New Roman" w:cs="Times New Roman"/>
        <w:spacing w:val="-1"/>
        <w:sz w:val="16"/>
        <w:szCs w:val="16"/>
      </w:rPr>
      <w:t>v</w:t>
    </w:r>
    <w:r>
      <w:rPr>
        <w:rFonts w:ascii="Times New Roman" w:eastAsia="Times New Roman" w:hAnsi="Times New Roman" w:cs="Times New Roman"/>
        <w:spacing w:val="1"/>
        <w:sz w:val="16"/>
        <w:szCs w:val="16"/>
      </w:rPr>
      <w:t>i</w:t>
    </w:r>
    <w:r>
      <w:rPr>
        <w:rFonts w:ascii="Times New Roman" w:eastAsia="Times New Roman" w:hAnsi="Times New Roman" w:cs="Times New Roman"/>
        <w:spacing w:val="-1"/>
        <w:sz w:val="16"/>
        <w:szCs w:val="16"/>
      </w:rPr>
      <w:t>d</w:t>
    </w:r>
    <w:r>
      <w:rPr>
        <w:rFonts w:ascii="Times New Roman" w:eastAsia="Times New Roman" w:hAnsi="Times New Roman" w:cs="Times New Roman"/>
        <w:spacing w:val="1"/>
        <w:sz w:val="16"/>
        <w:szCs w:val="16"/>
      </w:rPr>
      <w:t>ua</w:t>
    </w:r>
    <w:r>
      <w:rPr>
        <w:rFonts w:ascii="Times New Roman" w:eastAsia="Times New Roman" w:hAnsi="Times New Roman" w:cs="Times New Roman"/>
        <w:spacing w:val="-1"/>
        <w:sz w:val="16"/>
        <w:szCs w:val="16"/>
      </w:rPr>
      <w:t>l</w:t>
    </w:r>
    <w:r>
      <w:rPr>
        <w:rFonts w:ascii="Times New Roman" w:eastAsia="Times New Roman" w:hAnsi="Times New Roman" w:cs="Times New Roman"/>
        <w:sz w:val="16"/>
        <w:szCs w:val="16"/>
      </w:rPr>
      <w:t>s</w:t>
    </w:r>
    <w:r>
      <w:rPr>
        <w:rFonts w:ascii="Times New Roman" w:eastAsia="Times New Roman" w:hAnsi="Times New Roman" w:cs="Times New Roman"/>
        <w:spacing w:val="1"/>
        <w:sz w:val="16"/>
        <w:szCs w:val="16"/>
      </w:rPr>
      <w:t xml:space="preserve"> </w:t>
    </w:r>
    <w:r>
      <w:rPr>
        <w:rFonts w:ascii="Times New Roman" w:eastAsia="Times New Roman" w:hAnsi="Times New Roman" w:cs="Times New Roman"/>
        <w:spacing w:val="-3"/>
        <w:sz w:val="16"/>
        <w:szCs w:val="16"/>
      </w:rPr>
      <w:t>w</w:t>
    </w:r>
    <w:r>
      <w:rPr>
        <w:rFonts w:ascii="Times New Roman" w:eastAsia="Times New Roman" w:hAnsi="Times New Roman" w:cs="Times New Roman"/>
        <w:spacing w:val="1"/>
        <w:sz w:val="16"/>
        <w:szCs w:val="16"/>
      </w:rPr>
      <w:t>i</w:t>
    </w:r>
    <w:r>
      <w:rPr>
        <w:rFonts w:ascii="Times New Roman" w:eastAsia="Times New Roman" w:hAnsi="Times New Roman" w:cs="Times New Roman"/>
        <w:spacing w:val="-1"/>
        <w:sz w:val="16"/>
        <w:szCs w:val="16"/>
      </w:rPr>
      <w:t>t</w:t>
    </w:r>
    <w:r>
      <w:rPr>
        <w:rFonts w:ascii="Times New Roman" w:eastAsia="Times New Roman" w:hAnsi="Times New Roman" w:cs="Times New Roman"/>
        <w:sz w:val="16"/>
        <w:szCs w:val="16"/>
      </w:rPr>
      <w:t xml:space="preserve">h </w:t>
    </w:r>
    <w:r>
      <w:rPr>
        <w:rFonts w:ascii="Times New Roman" w:eastAsia="Times New Roman" w:hAnsi="Times New Roman" w:cs="Times New Roman"/>
        <w:spacing w:val="1"/>
        <w:sz w:val="16"/>
        <w:szCs w:val="16"/>
      </w:rPr>
      <w:t>di</w:t>
    </w:r>
    <w:r>
      <w:rPr>
        <w:rFonts w:ascii="Times New Roman" w:eastAsia="Times New Roman" w:hAnsi="Times New Roman" w:cs="Times New Roman"/>
        <w:spacing w:val="-3"/>
        <w:sz w:val="16"/>
        <w:szCs w:val="16"/>
      </w:rPr>
      <w:t>s</w:t>
    </w:r>
    <w:r>
      <w:rPr>
        <w:rFonts w:ascii="Times New Roman" w:eastAsia="Times New Roman" w:hAnsi="Times New Roman" w:cs="Times New Roman"/>
        <w:spacing w:val="1"/>
        <w:sz w:val="16"/>
        <w:szCs w:val="16"/>
      </w:rPr>
      <w:t>a</w:t>
    </w:r>
    <w:r>
      <w:rPr>
        <w:rFonts w:ascii="Times New Roman" w:eastAsia="Times New Roman" w:hAnsi="Times New Roman" w:cs="Times New Roman"/>
        <w:spacing w:val="-1"/>
        <w:sz w:val="16"/>
        <w:szCs w:val="16"/>
      </w:rPr>
      <w:t>b</w:t>
    </w:r>
    <w:r>
      <w:rPr>
        <w:rFonts w:ascii="Times New Roman" w:eastAsia="Times New Roman" w:hAnsi="Times New Roman" w:cs="Times New Roman"/>
        <w:spacing w:val="1"/>
        <w:sz w:val="16"/>
        <w:szCs w:val="16"/>
      </w:rPr>
      <w:t>i</w:t>
    </w:r>
    <w:r>
      <w:rPr>
        <w:rFonts w:ascii="Times New Roman" w:eastAsia="Times New Roman" w:hAnsi="Times New Roman" w:cs="Times New Roman"/>
        <w:spacing w:val="-1"/>
        <w:sz w:val="16"/>
        <w:szCs w:val="16"/>
      </w:rPr>
      <w:t>l</w:t>
    </w:r>
    <w:r>
      <w:rPr>
        <w:rFonts w:ascii="Times New Roman" w:eastAsia="Times New Roman" w:hAnsi="Times New Roman" w:cs="Times New Roman"/>
        <w:spacing w:val="1"/>
        <w:sz w:val="16"/>
        <w:szCs w:val="16"/>
      </w:rPr>
      <w:t>iti</w:t>
    </w:r>
    <w:r>
      <w:rPr>
        <w:rFonts w:ascii="Times New Roman" w:eastAsia="Times New Roman" w:hAnsi="Times New Roman" w:cs="Times New Roman"/>
        <w:spacing w:val="-2"/>
        <w:sz w:val="16"/>
        <w:szCs w:val="16"/>
      </w:rPr>
      <w:t>e</w:t>
    </w:r>
    <w:r>
      <w:rPr>
        <w:rFonts w:ascii="Times New Roman" w:eastAsia="Times New Roman" w:hAnsi="Times New Roman" w:cs="Times New Roman"/>
        <w:sz w:val="16"/>
        <w:szCs w:val="16"/>
      </w:rPr>
      <w:t>s</w:t>
    </w:r>
  </w:p>
  <w:p w14:paraId="633BC5CF" w14:textId="77777777" w:rsidR="00221323" w:rsidRDefault="0022132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F409A0" w14:textId="77777777" w:rsidR="00FE4564" w:rsidRDefault="00FE45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AC9179" w14:textId="77777777" w:rsidR="00B760A6" w:rsidRDefault="00B760A6" w:rsidP="00221323">
      <w:pPr>
        <w:spacing w:after="0" w:line="240" w:lineRule="auto"/>
      </w:pPr>
      <w:r>
        <w:separator/>
      </w:r>
    </w:p>
  </w:footnote>
  <w:footnote w:type="continuationSeparator" w:id="0">
    <w:p w14:paraId="6CCFEA1D" w14:textId="77777777" w:rsidR="00B760A6" w:rsidRDefault="00B760A6" w:rsidP="00221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12E892" w14:textId="5B379252" w:rsidR="00FE4564" w:rsidRDefault="00FE45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58C1B2" w14:textId="7DF5469D" w:rsidR="00FE4564" w:rsidRDefault="00FE45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00A415" w14:textId="173EB1CC" w:rsidR="00FE4564" w:rsidRDefault="00FE45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2F60CD"/>
    <w:multiLevelType w:val="hybridMultilevel"/>
    <w:tmpl w:val="70B8A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270E6D"/>
    <w:multiLevelType w:val="hybridMultilevel"/>
    <w:tmpl w:val="4BD2349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51A3BDD"/>
    <w:multiLevelType w:val="hybridMultilevel"/>
    <w:tmpl w:val="AE06A4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F70"/>
    <w:rsid w:val="00013A5F"/>
    <w:rsid w:val="00022C28"/>
    <w:rsid w:val="0002750A"/>
    <w:rsid w:val="000374D9"/>
    <w:rsid w:val="00056613"/>
    <w:rsid w:val="0007384F"/>
    <w:rsid w:val="00074C2F"/>
    <w:rsid w:val="00084E7A"/>
    <w:rsid w:val="000D6B20"/>
    <w:rsid w:val="00101C5D"/>
    <w:rsid w:val="001076A7"/>
    <w:rsid w:val="00113BE8"/>
    <w:rsid w:val="00115F70"/>
    <w:rsid w:val="00125E1E"/>
    <w:rsid w:val="001329D2"/>
    <w:rsid w:val="0013518F"/>
    <w:rsid w:val="00140266"/>
    <w:rsid w:val="00160142"/>
    <w:rsid w:val="00175694"/>
    <w:rsid w:val="00187D30"/>
    <w:rsid w:val="001A001E"/>
    <w:rsid w:val="001A3365"/>
    <w:rsid w:val="001D07EA"/>
    <w:rsid w:val="001D2195"/>
    <w:rsid w:val="001D7BB9"/>
    <w:rsid w:val="001E6F5B"/>
    <w:rsid w:val="001E7A3F"/>
    <w:rsid w:val="00200F44"/>
    <w:rsid w:val="00221323"/>
    <w:rsid w:val="00227779"/>
    <w:rsid w:val="00230E42"/>
    <w:rsid w:val="00242FA0"/>
    <w:rsid w:val="00244BF5"/>
    <w:rsid w:val="00252995"/>
    <w:rsid w:val="00261CFA"/>
    <w:rsid w:val="00264063"/>
    <w:rsid w:val="002A3808"/>
    <w:rsid w:val="002B1E7D"/>
    <w:rsid w:val="002B6D34"/>
    <w:rsid w:val="002C699E"/>
    <w:rsid w:val="002F6A4E"/>
    <w:rsid w:val="00305CC5"/>
    <w:rsid w:val="00306ACC"/>
    <w:rsid w:val="00311ED2"/>
    <w:rsid w:val="00324C76"/>
    <w:rsid w:val="00324F49"/>
    <w:rsid w:val="003410A2"/>
    <w:rsid w:val="00350E16"/>
    <w:rsid w:val="00352EC9"/>
    <w:rsid w:val="0035523D"/>
    <w:rsid w:val="00355882"/>
    <w:rsid w:val="00361EFC"/>
    <w:rsid w:val="00367A12"/>
    <w:rsid w:val="00372E94"/>
    <w:rsid w:val="00374497"/>
    <w:rsid w:val="00380228"/>
    <w:rsid w:val="00381ED1"/>
    <w:rsid w:val="00382B97"/>
    <w:rsid w:val="00383A80"/>
    <w:rsid w:val="00392176"/>
    <w:rsid w:val="003A0DAE"/>
    <w:rsid w:val="003A1AEE"/>
    <w:rsid w:val="003B76A6"/>
    <w:rsid w:val="003B7AA9"/>
    <w:rsid w:val="003C3DC4"/>
    <w:rsid w:val="003C4249"/>
    <w:rsid w:val="003C47C3"/>
    <w:rsid w:val="003D0612"/>
    <w:rsid w:val="003D4C6F"/>
    <w:rsid w:val="003D67AC"/>
    <w:rsid w:val="003E2891"/>
    <w:rsid w:val="003E3177"/>
    <w:rsid w:val="003F4618"/>
    <w:rsid w:val="00404F14"/>
    <w:rsid w:val="00407186"/>
    <w:rsid w:val="00407EB3"/>
    <w:rsid w:val="004142AF"/>
    <w:rsid w:val="00425D19"/>
    <w:rsid w:val="00481AB7"/>
    <w:rsid w:val="00487CC3"/>
    <w:rsid w:val="00493C7B"/>
    <w:rsid w:val="00494794"/>
    <w:rsid w:val="004A0A7E"/>
    <w:rsid w:val="004A2755"/>
    <w:rsid w:val="004C4042"/>
    <w:rsid w:val="004D349C"/>
    <w:rsid w:val="004F01E4"/>
    <w:rsid w:val="004F6B5D"/>
    <w:rsid w:val="00503EB0"/>
    <w:rsid w:val="00517200"/>
    <w:rsid w:val="005549A4"/>
    <w:rsid w:val="005625F9"/>
    <w:rsid w:val="00563FCD"/>
    <w:rsid w:val="00566E1A"/>
    <w:rsid w:val="005761BD"/>
    <w:rsid w:val="005822F1"/>
    <w:rsid w:val="005A225B"/>
    <w:rsid w:val="005A61AD"/>
    <w:rsid w:val="005C01F0"/>
    <w:rsid w:val="005C6C30"/>
    <w:rsid w:val="005D0EDE"/>
    <w:rsid w:val="005E09BE"/>
    <w:rsid w:val="005F4763"/>
    <w:rsid w:val="005F59F4"/>
    <w:rsid w:val="0060531C"/>
    <w:rsid w:val="00610D04"/>
    <w:rsid w:val="0061120E"/>
    <w:rsid w:val="00627073"/>
    <w:rsid w:val="006374BB"/>
    <w:rsid w:val="006430D9"/>
    <w:rsid w:val="0064477F"/>
    <w:rsid w:val="00652F2D"/>
    <w:rsid w:val="00652FCE"/>
    <w:rsid w:val="00656B82"/>
    <w:rsid w:val="0065790A"/>
    <w:rsid w:val="00690B75"/>
    <w:rsid w:val="006B1E58"/>
    <w:rsid w:val="006B22F0"/>
    <w:rsid w:val="006C12F3"/>
    <w:rsid w:val="006C1306"/>
    <w:rsid w:val="006C4D44"/>
    <w:rsid w:val="006E5EE9"/>
    <w:rsid w:val="0070428A"/>
    <w:rsid w:val="007219A7"/>
    <w:rsid w:val="007315F3"/>
    <w:rsid w:val="00732879"/>
    <w:rsid w:val="0073622A"/>
    <w:rsid w:val="007474BB"/>
    <w:rsid w:val="00765859"/>
    <w:rsid w:val="00765E17"/>
    <w:rsid w:val="00786D24"/>
    <w:rsid w:val="00790E14"/>
    <w:rsid w:val="007B40C5"/>
    <w:rsid w:val="007C0839"/>
    <w:rsid w:val="007D1AB2"/>
    <w:rsid w:val="007E2E27"/>
    <w:rsid w:val="007F47C4"/>
    <w:rsid w:val="007F6E7A"/>
    <w:rsid w:val="00803C3C"/>
    <w:rsid w:val="00806BED"/>
    <w:rsid w:val="00813822"/>
    <w:rsid w:val="00827F59"/>
    <w:rsid w:val="00834FE1"/>
    <w:rsid w:val="0083761C"/>
    <w:rsid w:val="00851621"/>
    <w:rsid w:val="008667B0"/>
    <w:rsid w:val="008775EA"/>
    <w:rsid w:val="00897627"/>
    <w:rsid w:val="008A4D45"/>
    <w:rsid w:val="008A7E95"/>
    <w:rsid w:val="008B0F2A"/>
    <w:rsid w:val="008B6B05"/>
    <w:rsid w:val="008D7F93"/>
    <w:rsid w:val="008E0C26"/>
    <w:rsid w:val="008E50A7"/>
    <w:rsid w:val="008E51D0"/>
    <w:rsid w:val="008F264B"/>
    <w:rsid w:val="00911B62"/>
    <w:rsid w:val="0091668D"/>
    <w:rsid w:val="0092234E"/>
    <w:rsid w:val="00926FB6"/>
    <w:rsid w:val="00933E9B"/>
    <w:rsid w:val="009477A3"/>
    <w:rsid w:val="00951A0E"/>
    <w:rsid w:val="00953862"/>
    <w:rsid w:val="00972C01"/>
    <w:rsid w:val="00984576"/>
    <w:rsid w:val="009938D7"/>
    <w:rsid w:val="009A4468"/>
    <w:rsid w:val="009B1759"/>
    <w:rsid w:val="009D603B"/>
    <w:rsid w:val="00A01D6B"/>
    <w:rsid w:val="00A02103"/>
    <w:rsid w:val="00A12890"/>
    <w:rsid w:val="00A52ACC"/>
    <w:rsid w:val="00A57210"/>
    <w:rsid w:val="00A5778F"/>
    <w:rsid w:val="00A61C1C"/>
    <w:rsid w:val="00A72121"/>
    <w:rsid w:val="00A90DE7"/>
    <w:rsid w:val="00AA1C85"/>
    <w:rsid w:val="00AC2143"/>
    <w:rsid w:val="00AC3DA9"/>
    <w:rsid w:val="00AE071F"/>
    <w:rsid w:val="00AE7465"/>
    <w:rsid w:val="00AF4EA5"/>
    <w:rsid w:val="00B01D70"/>
    <w:rsid w:val="00B35738"/>
    <w:rsid w:val="00B40190"/>
    <w:rsid w:val="00B45D6C"/>
    <w:rsid w:val="00B52998"/>
    <w:rsid w:val="00B760A6"/>
    <w:rsid w:val="00B76712"/>
    <w:rsid w:val="00B77820"/>
    <w:rsid w:val="00B93206"/>
    <w:rsid w:val="00BA5A5E"/>
    <w:rsid w:val="00BA6532"/>
    <w:rsid w:val="00BB4A2A"/>
    <w:rsid w:val="00BB4E27"/>
    <w:rsid w:val="00BC30B0"/>
    <w:rsid w:val="00BC66B4"/>
    <w:rsid w:val="00BC70E3"/>
    <w:rsid w:val="00BC728C"/>
    <w:rsid w:val="00BD2A4E"/>
    <w:rsid w:val="00C00D04"/>
    <w:rsid w:val="00C043D1"/>
    <w:rsid w:val="00C108A7"/>
    <w:rsid w:val="00C2566B"/>
    <w:rsid w:val="00C36429"/>
    <w:rsid w:val="00C36732"/>
    <w:rsid w:val="00C407CD"/>
    <w:rsid w:val="00C47CC8"/>
    <w:rsid w:val="00C5722A"/>
    <w:rsid w:val="00C6550E"/>
    <w:rsid w:val="00C87AD9"/>
    <w:rsid w:val="00C93203"/>
    <w:rsid w:val="00C93D2D"/>
    <w:rsid w:val="00C93FA4"/>
    <w:rsid w:val="00CA5D05"/>
    <w:rsid w:val="00CC0A61"/>
    <w:rsid w:val="00CC0EE2"/>
    <w:rsid w:val="00CD2CE0"/>
    <w:rsid w:val="00D077D4"/>
    <w:rsid w:val="00D10DFF"/>
    <w:rsid w:val="00D3034C"/>
    <w:rsid w:val="00D3169C"/>
    <w:rsid w:val="00D3305A"/>
    <w:rsid w:val="00D363A7"/>
    <w:rsid w:val="00D41BF8"/>
    <w:rsid w:val="00D42DA8"/>
    <w:rsid w:val="00D50EC2"/>
    <w:rsid w:val="00D67D5D"/>
    <w:rsid w:val="00D946FF"/>
    <w:rsid w:val="00DB13C3"/>
    <w:rsid w:val="00DE4836"/>
    <w:rsid w:val="00DE7882"/>
    <w:rsid w:val="00DF2722"/>
    <w:rsid w:val="00DF5B1A"/>
    <w:rsid w:val="00DF62CB"/>
    <w:rsid w:val="00E14080"/>
    <w:rsid w:val="00E16DAA"/>
    <w:rsid w:val="00E17B9C"/>
    <w:rsid w:val="00E46E28"/>
    <w:rsid w:val="00E73703"/>
    <w:rsid w:val="00E8236F"/>
    <w:rsid w:val="00E8402E"/>
    <w:rsid w:val="00E90710"/>
    <w:rsid w:val="00E92496"/>
    <w:rsid w:val="00EB585A"/>
    <w:rsid w:val="00EC0E32"/>
    <w:rsid w:val="00ED600E"/>
    <w:rsid w:val="00EF0172"/>
    <w:rsid w:val="00EF5E89"/>
    <w:rsid w:val="00F00CFF"/>
    <w:rsid w:val="00F049F7"/>
    <w:rsid w:val="00F07256"/>
    <w:rsid w:val="00F157E1"/>
    <w:rsid w:val="00F16975"/>
    <w:rsid w:val="00F24897"/>
    <w:rsid w:val="00F32299"/>
    <w:rsid w:val="00F43A36"/>
    <w:rsid w:val="00F52136"/>
    <w:rsid w:val="00F52476"/>
    <w:rsid w:val="00F57233"/>
    <w:rsid w:val="00F70940"/>
    <w:rsid w:val="00F72BFB"/>
    <w:rsid w:val="00F90DB1"/>
    <w:rsid w:val="00F920C0"/>
    <w:rsid w:val="00F9254E"/>
    <w:rsid w:val="00FA1939"/>
    <w:rsid w:val="00FA60A0"/>
    <w:rsid w:val="00FB443E"/>
    <w:rsid w:val="00FC03BE"/>
    <w:rsid w:val="00FD117E"/>
    <w:rsid w:val="00FD64C2"/>
    <w:rsid w:val="00FE4564"/>
    <w:rsid w:val="00FE4616"/>
    <w:rsid w:val="00FE7DEF"/>
    <w:rsid w:val="00FF4E21"/>
    <w:rsid w:val="0243D88B"/>
    <w:rsid w:val="0784A394"/>
    <w:rsid w:val="07F7066A"/>
    <w:rsid w:val="08FF427D"/>
    <w:rsid w:val="0A0DEDBA"/>
    <w:rsid w:val="0B42AD63"/>
    <w:rsid w:val="0BA01907"/>
    <w:rsid w:val="0BF506FB"/>
    <w:rsid w:val="0F3AC19A"/>
    <w:rsid w:val="0FA9F4F0"/>
    <w:rsid w:val="11BC3B11"/>
    <w:rsid w:val="132AD16D"/>
    <w:rsid w:val="13F0A4B5"/>
    <w:rsid w:val="14F3DBD3"/>
    <w:rsid w:val="152B5EF6"/>
    <w:rsid w:val="15309F1C"/>
    <w:rsid w:val="16A5F314"/>
    <w:rsid w:val="179769ED"/>
    <w:rsid w:val="17A87660"/>
    <w:rsid w:val="17B0D9F4"/>
    <w:rsid w:val="1A83952B"/>
    <w:rsid w:val="1ACB1876"/>
    <w:rsid w:val="1F57064E"/>
    <w:rsid w:val="20070142"/>
    <w:rsid w:val="20F0277A"/>
    <w:rsid w:val="21539866"/>
    <w:rsid w:val="21A5966C"/>
    <w:rsid w:val="228EA710"/>
    <w:rsid w:val="241C561F"/>
    <w:rsid w:val="2595664A"/>
    <w:rsid w:val="26861E37"/>
    <w:rsid w:val="26CB8300"/>
    <w:rsid w:val="2811A23F"/>
    <w:rsid w:val="28B25D1D"/>
    <w:rsid w:val="2A27C237"/>
    <w:rsid w:val="2BBE24B5"/>
    <w:rsid w:val="2BFC1B1D"/>
    <w:rsid w:val="2EAD560E"/>
    <w:rsid w:val="3002BBF1"/>
    <w:rsid w:val="30947E19"/>
    <w:rsid w:val="316D69F6"/>
    <w:rsid w:val="32401706"/>
    <w:rsid w:val="325DBD24"/>
    <w:rsid w:val="32D75E12"/>
    <w:rsid w:val="334716CC"/>
    <w:rsid w:val="3526FC42"/>
    <w:rsid w:val="3627B2BC"/>
    <w:rsid w:val="38BA51AB"/>
    <w:rsid w:val="397239AC"/>
    <w:rsid w:val="39DEED5E"/>
    <w:rsid w:val="3BAD1785"/>
    <w:rsid w:val="3D19FA75"/>
    <w:rsid w:val="3DD642AA"/>
    <w:rsid w:val="3E9CA279"/>
    <w:rsid w:val="3F692FC0"/>
    <w:rsid w:val="40D5F8FE"/>
    <w:rsid w:val="421CF4E4"/>
    <w:rsid w:val="438C2E9B"/>
    <w:rsid w:val="4445842E"/>
    <w:rsid w:val="447CFEEC"/>
    <w:rsid w:val="45062E54"/>
    <w:rsid w:val="450CA3F5"/>
    <w:rsid w:val="45DB2D71"/>
    <w:rsid w:val="4618CF4D"/>
    <w:rsid w:val="46B85D40"/>
    <w:rsid w:val="4776FDD2"/>
    <w:rsid w:val="47791067"/>
    <w:rsid w:val="47912B27"/>
    <w:rsid w:val="492FB33F"/>
    <w:rsid w:val="493747B2"/>
    <w:rsid w:val="4AB37826"/>
    <w:rsid w:val="4C2022F1"/>
    <w:rsid w:val="4C2878C2"/>
    <w:rsid w:val="51ED85F0"/>
    <w:rsid w:val="52107086"/>
    <w:rsid w:val="52454EE2"/>
    <w:rsid w:val="52C81B63"/>
    <w:rsid w:val="52D7D147"/>
    <w:rsid w:val="5311A46C"/>
    <w:rsid w:val="5536428E"/>
    <w:rsid w:val="55CD0AB9"/>
    <w:rsid w:val="55F8D6FE"/>
    <w:rsid w:val="5930DF83"/>
    <w:rsid w:val="5C1328C1"/>
    <w:rsid w:val="5C251DC7"/>
    <w:rsid w:val="5C5AA4EC"/>
    <w:rsid w:val="5D4D2229"/>
    <w:rsid w:val="5D71A331"/>
    <w:rsid w:val="61C3A9B1"/>
    <w:rsid w:val="6439BC02"/>
    <w:rsid w:val="653F5D02"/>
    <w:rsid w:val="657770ED"/>
    <w:rsid w:val="6776372D"/>
    <w:rsid w:val="68048E26"/>
    <w:rsid w:val="6982BDFA"/>
    <w:rsid w:val="6CA31D8E"/>
    <w:rsid w:val="6D073905"/>
    <w:rsid w:val="6D484EE9"/>
    <w:rsid w:val="6E3EEDEF"/>
    <w:rsid w:val="6EF89841"/>
    <w:rsid w:val="6F68C7D5"/>
    <w:rsid w:val="70130CF4"/>
    <w:rsid w:val="707DDE28"/>
    <w:rsid w:val="7084CA14"/>
    <w:rsid w:val="72859CE8"/>
    <w:rsid w:val="74950716"/>
    <w:rsid w:val="7595174A"/>
    <w:rsid w:val="76C2337C"/>
    <w:rsid w:val="77AA0033"/>
    <w:rsid w:val="77D187AE"/>
    <w:rsid w:val="787AF74A"/>
    <w:rsid w:val="7A38C6A5"/>
    <w:rsid w:val="7BAA6C0F"/>
    <w:rsid w:val="7BD49706"/>
    <w:rsid w:val="7ED31BF1"/>
    <w:rsid w:val="7F0C37C8"/>
    <w:rsid w:val="7F9A1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5031CD9"/>
  <w15:docId w15:val="{6446C466-1D06-4AA9-A43D-21F24468C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7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E95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BC66B4"/>
    <w:pPr>
      <w:widowControl/>
      <w:spacing w:after="0" w:line="240" w:lineRule="auto"/>
      <w:ind w:left="1440" w:hanging="14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BC66B4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213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213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323"/>
  </w:style>
  <w:style w:type="paragraph" w:styleId="Footer">
    <w:name w:val="footer"/>
    <w:basedOn w:val="Normal"/>
    <w:link w:val="FooterChar"/>
    <w:uiPriority w:val="99"/>
    <w:unhideWhenUsed/>
    <w:rsid w:val="002213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323"/>
  </w:style>
  <w:style w:type="paragraph" w:customStyle="1" w:styleId="Default">
    <w:name w:val="Default"/>
    <w:rsid w:val="003C4249"/>
    <w:pPr>
      <w:widowControl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5E09BE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383A8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3A8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A38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38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38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8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3808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F5B1A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AC2143"/>
    <w:pPr>
      <w:widowControl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WS_StateMonitorAdvocate@commerce.nc.gov" TargetMode="External"/><Relationship Id="R6cb4344a3e0645e5" Type="http://schemas.microsoft.com/office/2018/08/relationships/commentsExtensible" Target="commentsExtensible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24BA3FDB45424CA2784222FF51C0F8" ma:contentTypeVersion="9" ma:contentTypeDescription="Create a new document." ma:contentTypeScope="" ma:versionID="d4414383e9f45f96737ed0fbe2dd5604">
  <xsd:schema xmlns:xsd="http://www.w3.org/2001/XMLSchema" xmlns:xs="http://www.w3.org/2001/XMLSchema" xmlns:p="http://schemas.microsoft.com/office/2006/metadata/properties" xmlns:ns3="ffa922f2-7ee1-477b-9cba-42b85917f34d" xmlns:ns4="b91d30b4-32d5-48e9-b1b1-526bd7bd3b82" targetNamespace="http://schemas.microsoft.com/office/2006/metadata/properties" ma:root="true" ma:fieldsID="4295fef85100dff8f93149a06e5e1a9d" ns3:_="" ns4:_="">
    <xsd:import namespace="ffa922f2-7ee1-477b-9cba-42b85917f34d"/>
    <xsd:import namespace="b91d30b4-32d5-48e9-b1b1-526bd7bd3b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a922f2-7ee1-477b-9cba-42b85917f3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1d30b4-32d5-48e9-b1b1-526bd7bd3b8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0EB7DB-926F-4A6D-9B82-5821C26FBA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F59B3D-F2D8-486C-990A-D8593ED89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a922f2-7ee1-477b-9cba-42b85917f34d"/>
    <ds:schemaRef ds:uri="b91d30b4-32d5-48e9-b1b1-526bd7bd3b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900F55-A024-436F-A384-AC47BBF4C3C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lzefiretto</dc:creator>
  <cp:lastModifiedBy>German, Berlina Y</cp:lastModifiedBy>
  <cp:revision>3</cp:revision>
  <cp:lastPrinted>2019-01-14T20:12:00Z</cp:lastPrinted>
  <dcterms:created xsi:type="dcterms:W3CDTF">2022-06-23T15:17:00Z</dcterms:created>
  <dcterms:modified xsi:type="dcterms:W3CDTF">2022-06-24T14:24:00Z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2013-02-27T00:00:00Z</vt:filetime>
  </property>
  <property fmtid="{D5CDD505-2E9C-101B-9397-08002B2CF9AE}" pid="3" name="LastSaved">
    <vt:filetime>2013-02-28T00:00:00Z</vt:filetime>
  </property>
  <property fmtid="{D5CDD505-2E9C-101B-9397-08002B2CF9AE}" pid="4" name="ContentTypeId">
    <vt:lpwstr>0x0101000C24BA3FDB45424CA2784222FF51C0F8</vt:lpwstr>
  </property>
</Properties>
</file>