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92" w:rsidRPr="00906982" w:rsidRDefault="00C00FEE" w:rsidP="00CF10BF">
      <w:r>
        <w:t>REDD</w:t>
      </w:r>
      <w:r w:rsidR="00CF10BF">
        <w:t xml:space="preserve"> </w:t>
      </w:r>
      <w:r w:rsidR="007C5792" w:rsidRPr="00906982">
        <w:t>COMMUNITY DEVELOPMENT BLOCK GRANT START-UP VISIT REVIEW FORM</w:t>
      </w:r>
    </w:p>
    <w:p w:rsidR="007C5792" w:rsidRPr="00906982" w:rsidRDefault="007C5792">
      <w:pPr>
        <w:rPr>
          <w:b/>
          <w:bCs/>
          <w:sz w:val="22"/>
          <w:szCs w:val="22"/>
        </w:rPr>
      </w:pPr>
    </w:p>
    <w:p w:rsidR="00750076" w:rsidRPr="00033C66" w:rsidRDefault="00906982">
      <w:pPr>
        <w:rPr>
          <w:sz w:val="22"/>
          <w:szCs w:val="22"/>
        </w:rPr>
      </w:pPr>
      <w:r w:rsidRPr="00033C66">
        <w:rPr>
          <w:bCs/>
          <w:sz w:val="22"/>
          <w:szCs w:val="22"/>
        </w:rPr>
        <w:t>Grantee:</w:t>
      </w:r>
      <w:r w:rsidR="00750076" w:rsidRPr="00033C66">
        <w:rPr>
          <w:sz w:val="22"/>
          <w:szCs w:val="22"/>
        </w:rPr>
        <w:t xml:space="preserve"> __________________________</w:t>
      </w:r>
      <w:r w:rsidR="003D235F">
        <w:rPr>
          <w:sz w:val="22"/>
          <w:szCs w:val="22"/>
        </w:rPr>
        <w:t>_</w:t>
      </w:r>
      <w:r w:rsidR="00750076" w:rsidRPr="00033C66">
        <w:rPr>
          <w:sz w:val="22"/>
          <w:szCs w:val="22"/>
        </w:rPr>
        <w:t>_____</w:t>
      </w:r>
      <w:r w:rsidR="00750076" w:rsidRPr="00033C66">
        <w:rPr>
          <w:bCs/>
          <w:sz w:val="22"/>
          <w:szCs w:val="22"/>
        </w:rPr>
        <w:t>Grant No</w:t>
      </w:r>
      <w:r w:rsidR="00750076" w:rsidRPr="00033C66">
        <w:rPr>
          <w:sz w:val="22"/>
          <w:szCs w:val="22"/>
        </w:rPr>
        <w:t>:</w:t>
      </w:r>
      <w:r w:rsidR="00483B22" w:rsidRPr="00033C66">
        <w:rPr>
          <w:sz w:val="22"/>
          <w:szCs w:val="22"/>
        </w:rPr>
        <w:t xml:space="preserve"> </w:t>
      </w:r>
      <w:r w:rsidR="00750076" w:rsidRPr="00033C66">
        <w:rPr>
          <w:sz w:val="22"/>
          <w:szCs w:val="22"/>
        </w:rPr>
        <w:t>_</w:t>
      </w:r>
      <w:r w:rsidR="00483B22" w:rsidRPr="00033C66">
        <w:rPr>
          <w:sz w:val="22"/>
          <w:szCs w:val="22"/>
        </w:rPr>
        <w:t>__</w:t>
      </w:r>
      <w:r w:rsidR="00750076" w:rsidRPr="00033C66">
        <w:rPr>
          <w:sz w:val="22"/>
          <w:szCs w:val="22"/>
        </w:rPr>
        <w:t>_______________</w:t>
      </w:r>
      <w:r w:rsidR="00D914E5" w:rsidRPr="00033C66">
        <w:rPr>
          <w:sz w:val="22"/>
          <w:szCs w:val="22"/>
        </w:rPr>
        <w:t>__</w:t>
      </w:r>
      <w:r w:rsidR="00750076" w:rsidRPr="00033C66">
        <w:rPr>
          <w:sz w:val="22"/>
          <w:szCs w:val="22"/>
        </w:rPr>
        <w:t xml:space="preserve">__________  </w:t>
      </w:r>
    </w:p>
    <w:p w:rsidR="00750076" w:rsidRPr="00033C66" w:rsidRDefault="00750076">
      <w:pPr>
        <w:rPr>
          <w:sz w:val="22"/>
          <w:szCs w:val="22"/>
        </w:rPr>
      </w:pPr>
    </w:p>
    <w:p w:rsidR="00750076" w:rsidRPr="00033C66" w:rsidRDefault="00750076">
      <w:pPr>
        <w:rPr>
          <w:sz w:val="22"/>
          <w:szCs w:val="22"/>
        </w:rPr>
      </w:pPr>
      <w:r w:rsidRPr="00033C66">
        <w:rPr>
          <w:bCs/>
          <w:sz w:val="22"/>
          <w:szCs w:val="22"/>
        </w:rPr>
        <w:t>Grant Amount</w:t>
      </w:r>
      <w:r w:rsidRPr="00033C66">
        <w:rPr>
          <w:sz w:val="22"/>
          <w:szCs w:val="22"/>
        </w:rPr>
        <w:t>________</w:t>
      </w:r>
      <w:r w:rsidR="00D914E5" w:rsidRPr="00033C66">
        <w:rPr>
          <w:sz w:val="22"/>
          <w:szCs w:val="22"/>
        </w:rPr>
        <w:t>__</w:t>
      </w:r>
      <w:r w:rsidRPr="00033C66">
        <w:rPr>
          <w:sz w:val="22"/>
          <w:szCs w:val="22"/>
        </w:rPr>
        <w:t>_______</w:t>
      </w:r>
      <w:r w:rsidR="00D914E5" w:rsidRPr="00033C66">
        <w:rPr>
          <w:sz w:val="22"/>
          <w:szCs w:val="22"/>
        </w:rPr>
        <w:t>___</w:t>
      </w:r>
      <w:r w:rsidRPr="00033C66">
        <w:rPr>
          <w:sz w:val="22"/>
          <w:szCs w:val="22"/>
        </w:rPr>
        <w:t>__</w:t>
      </w:r>
      <w:r w:rsidR="00D914E5" w:rsidRPr="00033C66">
        <w:rPr>
          <w:sz w:val="22"/>
          <w:szCs w:val="22"/>
        </w:rPr>
        <w:t>_</w:t>
      </w:r>
      <w:r w:rsidR="003D235F">
        <w:rPr>
          <w:sz w:val="22"/>
          <w:szCs w:val="22"/>
        </w:rPr>
        <w:t>_</w:t>
      </w:r>
      <w:r w:rsidR="00D914E5" w:rsidRPr="00033C66">
        <w:rPr>
          <w:sz w:val="22"/>
          <w:szCs w:val="22"/>
        </w:rPr>
        <w:t>__</w:t>
      </w:r>
      <w:r w:rsidRPr="00033C66">
        <w:rPr>
          <w:sz w:val="22"/>
          <w:szCs w:val="22"/>
        </w:rPr>
        <w:t xml:space="preserve">_____     </w:t>
      </w:r>
      <w:r w:rsidRPr="00033C66">
        <w:rPr>
          <w:bCs/>
          <w:sz w:val="22"/>
          <w:szCs w:val="22"/>
        </w:rPr>
        <w:t>Date of Visit</w:t>
      </w:r>
      <w:r w:rsidRPr="00033C66">
        <w:rPr>
          <w:sz w:val="22"/>
          <w:szCs w:val="22"/>
        </w:rPr>
        <w:t>: ___</w:t>
      </w:r>
      <w:r w:rsidR="003D235F">
        <w:rPr>
          <w:sz w:val="22"/>
          <w:szCs w:val="22"/>
        </w:rPr>
        <w:t>_</w:t>
      </w:r>
      <w:r w:rsidRPr="00033C66">
        <w:rPr>
          <w:sz w:val="22"/>
          <w:szCs w:val="22"/>
        </w:rPr>
        <w:t>_____</w:t>
      </w:r>
      <w:r w:rsidR="00D914E5" w:rsidRPr="00033C66">
        <w:rPr>
          <w:sz w:val="22"/>
          <w:szCs w:val="22"/>
        </w:rPr>
        <w:t>__</w:t>
      </w:r>
      <w:r w:rsidRPr="00033C66">
        <w:rPr>
          <w:sz w:val="22"/>
          <w:szCs w:val="22"/>
        </w:rPr>
        <w:t>____</w:t>
      </w:r>
      <w:r w:rsidR="00483B22" w:rsidRPr="00033C66">
        <w:rPr>
          <w:sz w:val="22"/>
          <w:szCs w:val="22"/>
        </w:rPr>
        <w:t>____</w:t>
      </w:r>
      <w:r w:rsidRPr="00033C66">
        <w:rPr>
          <w:sz w:val="22"/>
          <w:szCs w:val="22"/>
        </w:rPr>
        <w:t>___</w:t>
      </w:r>
    </w:p>
    <w:p w:rsidR="00750076" w:rsidRPr="00033C66" w:rsidRDefault="00750076">
      <w:pPr>
        <w:rPr>
          <w:sz w:val="22"/>
          <w:szCs w:val="22"/>
        </w:rPr>
      </w:pPr>
    </w:p>
    <w:p w:rsidR="00750076" w:rsidRPr="00033C66" w:rsidRDefault="00750076">
      <w:pPr>
        <w:pStyle w:val="BodyText"/>
        <w:rPr>
          <w:rFonts w:ascii="Times New Roman" w:hAnsi="Times New Roman"/>
          <w:szCs w:val="22"/>
        </w:rPr>
      </w:pPr>
      <w:r w:rsidRPr="00033C66">
        <w:rPr>
          <w:rFonts w:ascii="Times New Roman" w:hAnsi="Times New Roman"/>
          <w:bCs/>
          <w:szCs w:val="22"/>
        </w:rPr>
        <w:t>Approved Grant Activities</w:t>
      </w:r>
      <w:r w:rsidRPr="00033C66">
        <w:rPr>
          <w:rFonts w:ascii="Times New Roman" w:hAnsi="Times New Roman"/>
          <w:szCs w:val="22"/>
        </w:rPr>
        <w:t>:</w:t>
      </w:r>
      <w:r w:rsidR="00483B22" w:rsidRPr="00033C66">
        <w:rPr>
          <w:rFonts w:ascii="Times New Roman" w:hAnsi="Times New Roman"/>
          <w:szCs w:val="22"/>
        </w:rPr>
        <w:t xml:space="preserve"> </w:t>
      </w:r>
      <w:r w:rsidRPr="00033C66">
        <w:rPr>
          <w:rFonts w:ascii="Times New Roman" w:hAnsi="Times New Roman"/>
          <w:szCs w:val="22"/>
        </w:rPr>
        <w:t>_______________________________</w:t>
      </w:r>
      <w:r w:rsidR="003D235F">
        <w:rPr>
          <w:rFonts w:ascii="Times New Roman" w:hAnsi="Times New Roman"/>
          <w:szCs w:val="22"/>
        </w:rPr>
        <w:t>__</w:t>
      </w:r>
      <w:r w:rsidRPr="00033C66">
        <w:rPr>
          <w:rFonts w:ascii="Times New Roman" w:hAnsi="Times New Roman"/>
          <w:szCs w:val="22"/>
        </w:rPr>
        <w:t>______________________</w:t>
      </w:r>
      <w:r w:rsidR="00D914E5" w:rsidRPr="00033C66">
        <w:rPr>
          <w:rFonts w:ascii="Times New Roman" w:hAnsi="Times New Roman"/>
          <w:szCs w:val="22"/>
        </w:rPr>
        <w:t>_</w:t>
      </w:r>
    </w:p>
    <w:p w:rsidR="00D914E5" w:rsidRPr="00033C66" w:rsidRDefault="00D914E5">
      <w:pPr>
        <w:rPr>
          <w:sz w:val="22"/>
          <w:szCs w:val="22"/>
        </w:rPr>
      </w:pPr>
    </w:p>
    <w:p w:rsidR="00750076" w:rsidRPr="00033C66" w:rsidRDefault="00750076">
      <w:pPr>
        <w:rPr>
          <w:sz w:val="22"/>
          <w:szCs w:val="22"/>
        </w:rPr>
      </w:pPr>
      <w:r w:rsidRPr="00033C66">
        <w:rPr>
          <w:sz w:val="22"/>
          <w:szCs w:val="22"/>
        </w:rPr>
        <w:t>______________________________________________________________________________</w:t>
      </w:r>
    </w:p>
    <w:p w:rsidR="00750076" w:rsidRPr="00033C66" w:rsidRDefault="00750076">
      <w:pPr>
        <w:rPr>
          <w:sz w:val="22"/>
          <w:szCs w:val="22"/>
        </w:rPr>
      </w:pPr>
    </w:p>
    <w:p w:rsidR="00750076" w:rsidRPr="00033C66" w:rsidRDefault="00750076">
      <w:pPr>
        <w:rPr>
          <w:sz w:val="22"/>
          <w:szCs w:val="22"/>
        </w:rPr>
      </w:pPr>
      <w:r w:rsidRPr="00033C66">
        <w:rPr>
          <w:bCs/>
          <w:sz w:val="22"/>
          <w:szCs w:val="22"/>
        </w:rPr>
        <w:t>Local Government Point of Contact for Grant</w:t>
      </w:r>
      <w:r w:rsidRPr="00033C66">
        <w:rPr>
          <w:sz w:val="22"/>
          <w:szCs w:val="22"/>
        </w:rPr>
        <w:t>:</w:t>
      </w:r>
      <w:r w:rsidR="00483B22" w:rsidRPr="00033C66">
        <w:rPr>
          <w:sz w:val="22"/>
          <w:szCs w:val="22"/>
        </w:rPr>
        <w:t xml:space="preserve"> </w:t>
      </w:r>
      <w:r w:rsidRPr="00033C66">
        <w:rPr>
          <w:sz w:val="22"/>
          <w:szCs w:val="22"/>
        </w:rPr>
        <w:t>_____________</w:t>
      </w:r>
      <w:r w:rsidR="003D235F">
        <w:rPr>
          <w:sz w:val="22"/>
          <w:szCs w:val="22"/>
        </w:rPr>
        <w:t>__</w:t>
      </w:r>
      <w:r w:rsidRPr="00033C66">
        <w:rPr>
          <w:sz w:val="22"/>
          <w:szCs w:val="22"/>
        </w:rPr>
        <w:t>________________________</w:t>
      </w:r>
      <w:r w:rsidR="00D914E5" w:rsidRPr="00033C66">
        <w:rPr>
          <w:sz w:val="22"/>
          <w:szCs w:val="22"/>
        </w:rPr>
        <w:t>_</w:t>
      </w:r>
    </w:p>
    <w:p w:rsidR="00750076" w:rsidRPr="00033C66" w:rsidRDefault="00483B22">
      <w:pPr>
        <w:rPr>
          <w:sz w:val="18"/>
          <w:szCs w:val="18"/>
        </w:rPr>
      </w:pPr>
      <w:r w:rsidRPr="00033C66">
        <w:rPr>
          <w:sz w:val="18"/>
          <w:szCs w:val="18"/>
        </w:rPr>
        <w:t>(</w:t>
      </w:r>
      <w:r w:rsidR="00853B54" w:rsidRPr="00033C66">
        <w:rPr>
          <w:sz w:val="18"/>
          <w:szCs w:val="18"/>
        </w:rPr>
        <w:t>It is the grantee’s responsibility</w:t>
      </w:r>
      <w:r w:rsidR="00E606A5" w:rsidRPr="00033C66">
        <w:rPr>
          <w:sz w:val="18"/>
          <w:szCs w:val="18"/>
        </w:rPr>
        <w:t xml:space="preserve"> </w:t>
      </w:r>
      <w:r w:rsidR="00853B54" w:rsidRPr="00033C66">
        <w:rPr>
          <w:sz w:val="18"/>
          <w:szCs w:val="18"/>
        </w:rPr>
        <w:t xml:space="preserve">to notify </w:t>
      </w:r>
      <w:r w:rsidR="00D543B7">
        <w:rPr>
          <w:sz w:val="18"/>
          <w:szCs w:val="18"/>
        </w:rPr>
        <w:t>REDD</w:t>
      </w:r>
      <w:r w:rsidR="00853B54" w:rsidRPr="00033C66">
        <w:rPr>
          <w:sz w:val="18"/>
          <w:szCs w:val="18"/>
        </w:rPr>
        <w:t xml:space="preserve"> of any changes of key staff.</w:t>
      </w:r>
      <w:r w:rsidRPr="00033C66">
        <w:rPr>
          <w:sz w:val="18"/>
          <w:szCs w:val="18"/>
        </w:rPr>
        <w:t>)</w:t>
      </w:r>
    </w:p>
    <w:p w:rsidR="00750076" w:rsidRPr="00906982" w:rsidRDefault="00750076" w:rsidP="00C00283">
      <w:pPr>
        <w:rPr>
          <w:sz w:val="22"/>
          <w:szCs w:val="22"/>
        </w:rPr>
      </w:pPr>
    </w:p>
    <w:tbl>
      <w:tblPr>
        <w:tblW w:w="0" w:type="auto"/>
        <w:tblLook w:val="04A0" w:firstRow="1" w:lastRow="0" w:firstColumn="1" w:lastColumn="0" w:noHBand="0" w:noVBand="1"/>
      </w:tblPr>
      <w:tblGrid>
        <w:gridCol w:w="6519"/>
        <w:gridCol w:w="2121"/>
      </w:tblGrid>
      <w:tr w:rsidR="00D914E5" w:rsidRPr="00906982" w:rsidTr="00C00283">
        <w:trPr>
          <w:trHeight w:hRule="exact" w:val="360"/>
        </w:trPr>
        <w:tc>
          <w:tcPr>
            <w:tcW w:w="6678" w:type="dxa"/>
          </w:tcPr>
          <w:p w:rsidR="00D914E5" w:rsidRPr="00906982" w:rsidRDefault="00D914E5" w:rsidP="00C00283">
            <w:pPr>
              <w:rPr>
                <w:sz w:val="22"/>
                <w:szCs w:val="22"/>
              </w:rPr>
            </w:pPr>
            <w:r w:rsidRPr="00906982">
              <w:rPr>
                <w:b/>
                <w:bCs/>
                <w:sz w:val="22"/>
                <w:szCs w:val="22"/>
              </w:rPr>
              <w:t>Date Grant Awarded by Secretary</w:t>
            </w:r>
            <w:r w:rsidRPr="00906982">
              <w:rPr>
                <w:sz w:val="22"/>
                <w:szCs w:val="22"/>
              </w:rPr>
              <w:t>:</w:t>
            </w:r>
          </w:p>
        </w:tc>
        <w:tc>
          <w:tcPr>
            <w:tcW w:w="2178" w:type="dxa"/>
            <w:tcBorders>
              <w:bottom w:val="single" w:sz="4" w:space="0" w:color="auto"/>
            </w:tcBorders>
          </w:tcPr>
          <w:p w:rsidR="00D914E5" w:rsidRPr="00906982" w:rsidRDefault="00D914E5" w:rsidP="00C00283">
            <w:pPr>
              <w:rPr>
                <w:sz w:val="22"/>
                <w:szCs w:val="22"/>
              </w:rPr>
            </w:pPr>
          </w:p>
          <w:p w:rsidR="00D914E5" w:rsidRPr="00906982" w:rsidRDefault="00D914E5" w:rsidP="00C00283">
            <w:pPr>
              <w:rPr>
                <w:sz w:val="22"/>
                <w:szCs w:val="22"/>
              </w:rPr>
            </w:pPr>
          </w:p>
        </w:tc>
      </w:tr>
      <w:tr w:rsidR="00D914E5" w:rsidRPr="00906982" w:rsidTr="00C00283">
        <w:trPr>
          <w:trHeight w:hRule="exact" w:val="360"/>
        </w:trPr>
        <w:tc>
          <w:tcPr>
            <w:tcW w:w="6678" w:type="dxa"/>
          </w:tcPr>
          <w:p w:rsidR="00D914E5" w:rsidRPr="00906982" w:rsidRDefault="00D914E5" w:rsidP="002B601D">
            <w:pPr>
              <w:rPr>
                <w:sz w:val="22"/>
                <w:szCs w:val="22"/>
              </w:rPr>
            </w:pPr>
            <w:r w:rsidRPr="00906982">
              <w:rPr>
                <w:b/>
                <w:bCs/>
                <w:sz w:val="22"/>
                <w:szCs w:val="22"/>
              </w:rPr>
              <w:t xml:space="preserve">Date Grant Agreement and Funding Approval Signed by </w:t>
            </w:r>
            <w:r w:rsidR="00C00FEE">
              <w:rPr>
                <w:b/>
                <w:bCs/>
                <w:sz w:val="22"/>
                <w:szCs w:val="22"/>
              </w:rPr>
              <w:t>REDD:</w:t>
            </w:r>
          </w:p>
        </w:tc>
        <w:tc>
          <w:tcPr>
            <w:tcW w:w="2178" w:type="dxa"/>
            <w:tcBorders>
              <w:top w:val="single" w:sz="4" w:space="0" w:color="auto"/>
              <w:bottom w:val="single" w:sz="4" w:space="0" w:color="auto"/>
            </w:tcBorders>
          </w:tcPr>
          <w:p w:rsidR="00D914E5" w:rsidRPr="00906982" w:rsidRDefault="00D914E5" w:rsidP="00C00283">
            <w:pPr>
              <w:rPr>
                <w:sz w:val="22"/>
                <w:szCs w:val="22"/>
              </w:rPr>
            </w:pPr>
          </w:p>
          <w:p w:rsidR="00D914E5" w:rsidRPr="00906982" w:rsidRDefault="00D914E5" w:rsidP="00C00283">
            <w:pPr>
              <w:rPr>
                <w:sz w:val="22"/>
                <w:szCs w:val="22"/>
              </w:rPr>
            </w:pPr>
          </w:p>
        </w:tc>
      </w:tr>
      <w:tr w:rsidR="00D914E5" w:rsidRPr="00906982" w:rsidTr="00C00283">
        <w:trPr>
          <w:trHeight w:hRule="exact" w:val="360"/>
        </w:trPr>
        <w:tc>
          <w:tcPr>
            <w:tcW w:w="6678" w:type="dxa"/>
          </w:tcPr>
          <w:p w:rsidR="00D914E5" w:rsidRPr="00906982" w:rsidRDefault="00D914E5" w:rsidP="00C00283">
            <w:pPr>
              <w:rPr>
                <w:sz w:val="22"/>
                <w:szCs w:val="22"/>
              </w:rPr>
            </w:pPr>
            <w:r w:rsidRPr="00906982">
              <w:rPr>
                <w:b/>
                <w:bCs/>
                <w:sz w:val="22"/>
                <w:szCs w:val="22"/>
              </w:rPr>
              <w:t>Date Grant Agreement and Funding Approval Signed by Grantee</w:t>
            </w:r>
            <w:r w:rsidRPr="00906982">
              <w:rPr>
                <w:sz w:val="22"/>
                <w:szCs w:val="22"/>
              </w:rPr>
              <w:t>:</w:t>
            </w:r>
          </w:p>
        </w:tc>
        <w:tc>
          <w:tcPr>
            <w:tcW w:w="2178" w:type="dxa"/>
            <w:tcBorders>
              <w:top w:val="single" w:sz="4" w:space="0" w:color="auto"/>
              <w:bottom w:val="single" w:sz="4" w:space="0" w:color="auto"/>
            </w:tcBorders>
          </w:tcPr>
          <w:p w:rsidR="00D914E5" w:rsidRPr="00906982" w:rsidRDefault="00D914E5" w:rsidP="00C00283">
            <w:pPr>
              <w:rPr>
                <w:sz w:val="22"/>
                <w:szCs w:val="22"/>
              </w:rPr>
            </w:pPr>
          </w:p>
          <w:p w:rsidR="00D914E5" w:rsidRPr="00906982" w:rsidRDefault="00D914E5" w:rsidP="00C00283">
            <w:pPr>
              <w:rPr>
                <w:sz w:val="22"/>
                <w:szCs w:val="22"/>
              </w:rPr>
            </w:pPr>
          </w:p>
        </w:tc>
      </w:tr>
      <w:tr w:rsidR="0071601A" w:rsidRPr="00906982" w:rsidTr="00C00283">
        <w:trPr>
          <w:trHeight w:hRule="exact" w:val="360"/>
        </w:trPr>
        <w:tc>
          <w:tcPr>
            <w:tcW w:w="6678" w:type="dxa"/>
          </w:tcPr>
          <w:p w:rsidR="0071601A" w:rsidRPr="00906982" w:rsidRDefault="00CD2C40" w:rsidP="00C00283">
            <w:pPr>
              <w:rPr>
                <w:b/>
                <w:bCs/>
                <w:sz w:val="22"/>
                <w:szCs w:val="22"/>
              </w:rPr>
            </w:pPr>
            <w:r>
              <w:rPr>
                <w:b/>
                <w:bCs/>
                <w:sz w:val="22"/>
                <w:szCs w:val="22"/>
              </w:rPr>
              <w:t xml:space="preserve">Date Grant Agreement and Funding Approval </w:t>
            </w:r>
            <w:r w:rsidR="0071601A">
              <w:rPr>
                <w:b/>
                <w:bCs/>
                <w:sz w:val="22"/>
                <w:szCs w:val="22"/>
              </w:rPr>
              <w:t xml:space="preserve">Due to </w:t>
            </w:r>
            <w:r w:rsidR="00C00FEE">
              <w:rPr>
                <w:b/>
                <w:bCs/>
                <w:sz w:val="22"/>
                <w:szCs w:val="22"/>
              </w:rPr>
              <w:t>REDD</w:t>
            </w:r>
            <w:r w:rsidR="0071601A">
              <w:rPr>
                <w:b/>
                <w:bCs/>
                <w:sz w:val="22"/>
                <w:szCs w:val="22"/>
              </w:rPr>
              <w:t>:</w:t>
            </w:r>
          </w:p>
        </w:tc>
        <w:tc>
          <w:tcPr>
            <w:tcW w:w="2178" w:type="dxa"/>
            <w:tcBorders>
              <w:top w:val="single" w:sz="4" w:space="0" w:color="auto"/>
              <w:bottom w:val="single" w:sz="4" w:space="0" w:color="auto"/>
            </w:tcBorders>
          </w:tcPr>
          <w:p w:rsidR="0071601A" w:rsidRPr="00906982" w:rsidRDefault="0071601A" w:rsidP="00C00283">
            <w:pPr>
              <w:rPr>
                <w:sz w:val="22"/>
                <w:szCs w:val="22"/>
              </w:rPr>
            </w:pPr>
          </w:p>
        </w:tc>
      </w:tr>
      <w:tr w:rsidR="00D914E5" w:rsidRPr="00906982" w:rsidTr="00C00283">
        <w:trPr>
          <w:trHeight w:hRule="exact" w:val="360"/>
        </w:trPr>
        <w:tc>
          <w:tcPr>
            <w:tcW w:w="6678" w:type="dxa"/>
          </w:tcPr>
          <w:p w:rsidR="00D914E5" w:rsidRPr="00906982" w:rsidRDefault="00D914E5" w:rsidP="00C00283">
            <w:pPr>
              <w:rPr>
                <w:sz w:val="22"/>
                <w:szCs w:val="22"/>
              </w:rPr>
            </w:pPr>
            <w:r w:rsidRPr="00906982">
              <w:rPr>
                <w:b/>
                <w:bCs/>
                <w:sz w:val="22"/>
                <w:szCs w:val="22"/>
              </w:rPr>
              <w:t>Date Funding Approval Conditions Must Be Satisfied By</w:t>
            </w:r>
            <w:r w:rsidRPr="00906982">
              <w:rPr>
                <w:sz w:val="22"/>
                <w:szCs w:val="22"/>
              </w:rPr>
              <w:t>:</w:t>
            </w:r>
          </w:p>
        </w:tc>
        <w:tc>
          <w:tcPr>
            <w:tcW w:w="2178" w:type="dxa"/>
            <w:tcBorders>
              <w:top w:val="single" w:sz="4" w:space="0" w:color="auto"/>
              <w:bottom w:val="single" w:sz="4" w:space="0" w:color="auto"/>
            </w:tcBorders>
          </w:tcPr>
          <w:p w:rsidR="00D914E5" w:rsidRPr="00906982" w:rsidRDefault="00D914E5" w:rsidP="00C00283">
            <w:pPr>
              <w:rPr>
                <w:sz w:val="22"/>
                <w:szCs w:val="22"/>
              </w:rPr>
            </w:pPr>
          </w:p>
          <w:p w:rsidR="00D914E5" w:rsidRPr="00906982" w:rsidRDefault="00D914E5" w:rsidP="00C00283">
            <w:pPr>
              <w:rPr>
                <w:sz w:val="22"/>
                <w:szCs w:val="22"/>
              </w:rPr>
            </w:pPr>
          </w:p>
        </w:tc>
      </w:tr>
      <w:tr w:rsidR="00D914E5" w:rsidRPr="00906982" w:rsidTr="00C00283">
        <w:trPr>
          <w:trHeight w:hRule="exact" w:val="360"/>
        </w:trPr>
        <w:tc>
          <w:tcPr>
            <w:tcW w:w="6678" w:type="dxa"/>
          </w:tcPr>
          <w:p w:rsidR="00D914E5" w:rsidRPr="00906982" w:rsidRDefault="00D914E5" w:rsidP="00C00283">
            <w:pPr>
              <w:rPr>
                <w:sz w:val="22"/>
                <w:szCs w:val="22"/>
              </w:rPr>
            </w:pPr>
            <w:r w:rsidRPr="00906982">
              <w:rPr>
                <w:b/>
                <w:bCs/>
                <w:sz w:val="22"/>
                <w:szCs w:val="22"/>
              </w:rPr>
              <w:t xml:space="preserve">Date Request </w:t>
            </w:r>
            <w:proofErr w:type="gramStart"/>
            <w:r w:rsidRPr="00906982">
              <w:rPr>
                <w:b/>
                <w:bCs/>
                <w:sz w:val="22"/>
                <w:szCs w:val="22"/>
              </w:rPr>
              <w:t>For</w:t>
            </w:r>
            <w:proofErr w:type="gramEnd"/>
            <w:r w:rsidRPr="00906982">
              <w:rPr>
                <w:b/>
                <w:bCs/>
                <w:sz w:val="22"/>
                <w:szCs w:val="22"/>
              </w:rPr>
              <w:t xml:space="preserve"> Release of Funds Must Be Submitted By</w:t>
            </w:r>
            <w:r w:rsidRPr="00906982">
              <w:rPr>
                <w:sz w:val="22"/>
                <w:szCs w:val="22"/>
              </w:rPr>
              <w:t>:</w:t>
            </w:r>
            <w:r w:rsidRPr="00906982">
              <w:rPr>
                <w:sz w:val="22"/>
                <w:szCs w:val="22"/>
              </w:rPr>
              <w:tab/>
            </w:r>
          </w:p>
        </w:tc>
        <w:tc>
          <w:tcPr>
            <w:tcW w:w="2178" w:type="dxa"/>
            <w:tcBorders>
              <w:top w:val="single" w:sz="4" w:space="0" w:color="auto"/>
              <w:bottom w:val="single" w:sz="4" w:space="0" w:color="auto"/>
            </w:tcBorders>
          </w:tcPr>
          <w:p w:rsidR="00D914E5" w:rsidRPr="00906982" w:rsidRDefault="00D914E5" w:rsidP="00C00283">
            <w:pPr>
              <w:rPr>
                <w:sz w:val="22"/>
                <w:szCs w:val="22"/>
              </w:rPr>
            </w:pPr>
          </w:p>
          <w:p w:rsidR="00D914E5" w:rsidRPr="00906982" w:rsidRDefault="00D914E5" w:rsidP="00C00283">
            <w:pPr>
              <w:rPr>
                <w:sz w:val="22"/>
                <w:szCs w:val="22"/>
              </w:rPr>
            </w:pPr>
          </w:p>
        </w:tc>
      </w:tr>
      <w:tr w:rsidR="00D914E5" w:rsidRPr="00906982" w:rsidTr="00C00283">
        <w:trPr>
          <w:trHeight w:hRule="exact" w:val="360"/>
        </w:trPr>
        <w:tc>
          <w:tcPr>
            <w:tcW w:w="6678" w:type="dxa"/>
          </w:tcPr>
          <w:p w:rsidR="00D914E5" w:rsidRPr="00906982" w:rsidRDefault="00D914E5" w:rsidP="00C00283">
            <w:pPr>
              <w:rPr>
                <w:sz w:val="22"/>
                <w:szCs w:val="22"/>
              </w:rPr>
            </w:pPr>
            <w:r w:rsidRPr="00906982">
              <w:rPr>
                <w:b/>
                <w:bCs/>
                <w:sz w:val="22"/>
                <w:szCs w:val="22"/>
              </w:rPr>
              <w:t>Date Funds Must Be Obligated By</w:t>
            </w:r>
            <w:r w:rsidRPr="00906982">
              <w:rPr>
                <w:sz w:val="22"/>
                <w:szCs w:val="22"/>
              </w:rPr>
              <w:t>:</w:t>
            </w:r>
          </w:p>
        </w:tc>
        <w:tc>
          <w:tcPr>
            <w:tcW w:w="2178" w:type="dxa"/>
            <w:tcBorders>
              <w:top w:val="single" w:sz="4" w:space="0" w:color="auto"/>
              <w:bottom w:val="single" w:sz="4" w:space="0" w:color="auto"/>
            </w:tcBorders>
          </w:tcPr>
          <w:p w:rsidR="00D914E5" w:rsidRPr="00906982" w:rsidRDefault="00D914E5" w:rsidP="00C00283">
            <w:pPr>
              <w:rPr>
                <w:sz w:val="22"/>
                <w:szCs w:val="22"/>
              </w:rPr>
            </w:pPr>
          </w:p>
          <w:p w:rsidR="00D914E5" w:rsidRPr="00906982" w:rsidRDefault="00D914E5" w:rsidP="00C00283">
            <w:pPr>
              <w:rPr>
                <w:sz w:val="22"/>
                <w:szCs w:val="22"/>
              </w:rPr>
            </w:pPr>
          </w:p>
        </w:tc>
      </w:tr>
      <w:tr w:rsidR="00D914E5" w:rsidRPr="00906982" w:rsidTr="00C00283">
        <w:trPr>
          <w:trHeight w:hRule="exact" w:val="360"/>
        </w:trPr>
        <w:tc>
          <w:tcPr>
            <w:tcW w:w="6678" w:type="dxa"/>
          </w:tcPr>
          <w:p w:rsidR="00D914E5" w:rsidRPr="00906982" w:rsidRDefault="00D914E5" w:rsidP="00C00283">
            <w:pPr>
              <w:pStyle w:val="BodyText"/>
              <w:rPr>
                <w:rFonts w:ascii="Times New Roman" w:hAnsi="Times New Roman"/>
                <w:szCs w:val="22"/>
              </w:rPr>
            </w:pPr>
            <w:r w:rsidRPr="00906982">
              <w:rPr>
                <w:rFonts w:ascii="Times New Roman" w:hAnsi="Times New Roman"/>
                <w:b/>
                <w:bCs/>
                <w:szCs w:val="22"/>
              </w:rPr>
              <w:t xml:space="preserve">Date Funds Must Be </w:t>
            </w:r>
            <w:r w:rsidR="007F0896">
              <w:rPr>
                <w:rFonts w:ascii="Times New Roman" w:hAnsi="Times New Roman"/>
                <w:b/>
                <w:bCs/>
                <w:szCs w:val="22"/>
              </w:rPr>
              <w:t xml:space="preserve">Drawn Down </w:t>
            </w:r>
            <w:r w:rsidRPr="00906982">
              <w:rPr>
                <w:rFonts w:ascii="Times New Roman" w:hAnsi="Times New Roman"/>
                <w:b/>
                <w:bCs/>
                <w:szCs w:val="22"/>
              </w:rPr>
              <w:t>By</w:t>
            </w:r>
            <w:r w:rsidRPr="00906982">
              <w:rPr>
                <w:rFonts w:ascii="Times New Roman" w:hAnsi="Times New Roman"/>
                <w:szCs w:val="22"/>
              </w:rPr>
              <w:t>:</w:t>
            </w:r>
          </w:p>
        </w:tc>
        <w:tc>
          <w:tcPr>
            <w:tcW w:w="2178" w:type="dxa"/>
            <w:tcBorders>
              <w:top w:val="single" w:sz="4" w:space="0" w:color="auto"/>
              <w:bottom w:val="single" w:sz="4" w:space="0" w:color="auto"/>
            </w:tcBorders>
          </w:tcPr>
          <w:p w:rsidR="00D914E5" w:rsidRPr="00906982" w:rsidRDefault="00D914E5" w:rsidP="00C00283">
            <w:pPr>
              <w:rPr>
                <w:sz w:val="22"/>
                <w:szCs w:val="22"/>
              </w:rPr>
            </w:pPr>
          </w:p>
          <w:p w:rsidR="00D914E5" w:rsidRPr="00906982" w:rsidRDefault="00D914E5" w:rsidP="00C00283">
            <w:pPr>
              <w:rPr>
                <w:sz w:val="22"/>
                <w:szCs w:val="22"/>
              </w:rPr>
            </w:pPr>
          </w:p>
        </w:tc>
      </w:tr>
      <w:tr w:rsidR="007F0896" w:rsidRPr="00906982" w:rsidTr="00C00283">
        <w:trPr>
          <w:trHeight w:hRule="exact" w:val="360"/>
        </w:trPr>
        <w:tc>
          <w:tcPr>
            <w:tcW w:w="6678" w:type="dxa"/>
          </w:tcPr>
          <w:p w:rsidR="007F0896" w:rsidRPr="00906982" w:rsidRDefault="007F0896" w:rsidP="00C00283">
            <w:pPr>
              <w:pStyle w:val="BodyText"/>
              <w:rPr>
                <w:rFonts w:ascii="Times New Roman" w:hAnsi="Times New Roman"/>
                <w:b/>
                <w:bCs/>
                <w:szCs w:val="22"/>
              </w:rPr>
            </w:pPr>
            <w:r w:rsidRPr="00906982">
              <w:rPr>
                <w:rFonts w:ascii="Times New Roman" w:hAnsi="Times New Roman"/>
                <w:b/>
                <w:bCs/>
                <w:szCs w:val="22"/>
              </w:rPr>
              <w:t>Date Activities Must Be Completed By</w:t>
            </w:r>
            <w:r w:rsidRPr="00906982">
              <w:rPr>
                <w:rFonts w:ascii="Times New Roman" w:hAnsi="Times New Roman"/>
                <w:szCs w:val="22"/>
              </w:rPr>
              <w:t>:</w:t>
            </w:r>
          </w:p>
        </w:tc>
        <w:tc>
          <w:tcPr>
            <w:tcW w:w="2178" w:type="dxa"/>
            <w:tcBorders>
              <w:top w:val="single" w:sz="4" w:space="0" w:color="auto"/>
              <w:bottom w:val="single" w:sz="4" w:space="0" w:color="auto"/>
            </w:tcBorders>
          </w:tcPr>
          <w:p w:rsidR="007F0896" w:rsidRPr="00906982" w:rsidRDefault="007F0896" w:rsidP="00C00283">
            <w:pPr>
              <w:rPr>
                <w:sz w:val="22"/>
                <w:szCs w:val="22"/>
              </w:rPr>
            </w:pPr>
          </w:p>
        </w:tc>
      </w:tr>
      <w:tr w:rsidR="00D914E5" w:rsidRPr="00906982" w:rsidTr="00C00283">
        <w:trPr>
          <w:trHeight w:hRule="exact" w:val="360"/>
        </w:trPr>
        <w:tc>
          <w:tcPr>
            <w:tcW w:w="6678" w:type="dxa"/>
          </w:tcPr>
          <w:p w:rsidR="00D914E5" w:rsidRPr="00906982" w:rsidRDefault="00D914E5" w:rsidP="00C00283">
            <w:pPr>
              <w:rPr>
                <w:sz w:val="22"/>
                <w:szCs w:val="22"/>
              </w:rPr>
            </w:pPr>
            <w:r w:rsidRPr="00906982">
              <w:rPr>
                <w:b/>
                <w:bCs/>
                <w:sz w:val="22"/>
                <w:szCs w:val="22"/>
              </w:rPr>
              <w:t xml:space="preserve">Date Close-out Documents Are Due </w:t>
            </w:r>
            <w:proofErr w:type="gramStart"/>
            <w:r w:rsidRPr="00906982">
              <w:rPr>
                <w:b/>
                <w:bCs/>
                <w:sz w:val="22"/>
                <w:szCs w:val="22"/>
              </w:rPr>
              <w:t>To</w:t>
            </w:r>
            <w:proofErr w:type="gramEnd"/>
            <w:r w:rsidRPr="00906982">
              <w:rPr>
                <w:b/>
                <w:bCs/>
                <w:sz w:val="22"/>
                <w:szCs w:val="22"/>
              </w:rPr>
              <w:t xml:space="preserve"> </w:t>
            </w:r>
            <w:r w:rsidR="00C00FEE">
              <w:rPr>
                <w:b/>
                <w:bCs/>
                <w:sz w:val="22"/>
                <w:szCs w:val="22"/>
              </w:rPr>
              <w:t>REDD</w:t>
            </w:r>
            <w:r w:rsidRPr="00906982">
              <w:rPr>
                <w:b/>
                <w:bCs/>
                <w:sz w:val="22"/>
                <w:szCs w:val="22"/>
              </w:rPr>
              <w:t xml:space="preserve"> By</w:t>
            </w:r>
            <w:r w:rsidRPr="00906982">
              <w:rPr>
                <w:sz w:val="22"/>
                <w:szCs w:val="22"/>
              </w:rPr>
              <w:t>:</w:t>
            </w:r>
          </w:p>
        </w:tc>
        <w:tc>
          <w:tcPr>
            <w:tcW w:w="2178" w:type="dxa"/>
            <w:tcBorders>
              <w:top w:val="single" w:sz="4" w:space="0" w:color="auto"/>
              <w:bottom w:val="single" w:sz="4" w:space="0" w:color="auto"/>
            </w:tcBorders>
          </w:tcPr>
          <w:p w:rsidR="00D914E5" w:rsidRPr="00906982" w:rsidRDefault="00D914E5" w:rsidP="00C00283">
            <w:pPr>
              <w:rPr>
                <w:sz w:val="22"/>
                <w:szCs w:val="22"/>
              </w:rPr>
            </w:pPr>
          </w:p>
          <w:p w:rsidR="00D914E5" w:rsidRPr="00906982" w:rsidRDefault="00D914E5" w:rsidP="00C00283">
            <w:pPr>
              <w:rPr>
                <w:sz w:val="22"/>
                <w:szCs w:val="22"/>
              </w:rPr>
            </w:pPr>
          </w:p>
        </w:tc>
      </w:tr>
    </w:tbl>
    <w:p w:rsidR="00750076" w:rsidRPr="00E82D92" w:rsidRDefault="00750076" w:rsidP="00C00283">
      <w:pPr>
        <w:rPr>
          <w:sz w:val="16"/>
          <w:szCs w:val="16"/>
        </w:rPr>
      </w:pPr>
    </w:p>
    <w:p w:rsidR="00750076" w:rsidRPr="00906982" w:rsidRDefault="00750076">
      <w:pPr>
        <w:pStyle w:val="Heading3"/>
        <w:rPr>
          <w:rFonts w:ascii="Times New Roman" w:hAnsi="Times New Roman"/>
          <w:szCs w:val="22"/>
        </w:rPr>
      </w:pPr>
      <w:r w:rsidRPr="00906982">
        <w:rPr>
          <w:rFonts w:ascii="Times New Roman" w:hAnsi="Times New Roman"/>
          <w:szCs w:val="22"/>
        </w:rPr>
        <w:t>GA &amp; FA</w:t>
      </w:r>
    </w:p>
    <w:p w:rsidR="00750076" w:rsidRPr="00906982" w:rsidRDefault="00750076">
      <w:pPr>
        <w:rPr>
          <w:i/>
          <w:sz w:val="22"/>
          <w:szCs w:val="22"/>
        </w:rPr>
      </w:pPr>
      <w:r w:rsidRPr="00906982">
        <w:rPr>
          <w:i/>
          <w:sz w:val="22"/>
          <w:szCs w:val="22"/>
        </w:rPr>
        <w:t xml:space="preserve">Administrative Funds may be obligated and expended after the </w:t>
      </w:r>
      <w:r w:rsidRPr="00906982">
        <w:rPr>
          <w:b/>
          <w:bCs/>
          <w:i/>
          <w:sz w:val="22"/>
          <w:szCs w:val="22"/>
        </w:rPr>
        <w:t xml:space="preserve">Grant Agreement </w:t>
      </w:r>
      <w:r w:rsidRPr="00906982">
        <w:rPr>
          <w:i/>
          <w:sz w:val="22"/>
          <w:szCs w:val="22"/>
        </w:rPr>
        <w:t xml:space="preserve">&amp; </w:t>
      </w:r>
      <w:r w:rsidRPr="00906982">
        <w:rPr>
          <w:b/>
          <w:bCs/>
          <w:i/>
          <w:sz w:val="22"/>
          <w:szCs w:val="22"/>
        </w:rPr>
        <w:t>Funding Approval</w:t>
      </w:r>
      <w:r w:rsidRPr="00906982">
        <w:rPr>
          <w:i/>
          <w:sz w:val="22"/>
          <w:szCs w:val="22"/>
        </w:rPr>
        <w:t xml:space="preserve"> are signed and returned to </w:t>
      </w:r>
      <w:r w:rsidR="00C00FEE">
        <w:rPr>
          <w:i/>
          <w:sz w:val="22"/>
          <w:szCs w:val="22"/>
        </w:rPr>
        <w:t>REDD</w:t>
      </w:r>
      <w:r w:rsidRPr="00906982">
        <w:rPr>
          <w:i/>
          <w:sz w:val="22"/>
          <w:szCs w:val="22"/>
        </w:rPr>
        <w:t xml:space="preserve">. A Release of Funds letter from </w:t>
      </w:r>
      <w:r w:rsidR="00C00FEE">
        <w:rPr>
          <w:i/>
          <w:sz w:val="22"/>
          <w:szCs w:val="22"/>
        </w:rPr>
        <w:t>REDD</w:t>
      </w:r>
      <w:r w:rsidRPr="00906982">
        <w:rPr>
          <w:i/>
          <w:sz w:val="22"/>
          <w:szCs w:val="22"/>
        </w:rPr>
        <w:t xml:space="preserve"> is required before funds may be obligated or expended in activities other than administration. </w:t>
      </w:r>
      <w:r w:rsidR="008F46DA" w:rsidRPr="008F46DA">
        <w:rPr>
          <w:b/>
          <w:i/>
          <w:sz w:val="22"/>
          <w:szCs w:val="22"/>
        </w:rPr>
        <w:t>_________ Initial</w:t>
      </w:r>
    </w:p>
    <w:p w:rsidR="00B30F02" w:rsidRPr="00B30F02" w:rsidRDefault="00B30F02">
      <w:pPr>
        <w:pStyle w:val="Heading3"/>
        <w:rPr>
          <w:rFonts w:ascii="Times New Roman" w:hAnsi="Times New Roman"/>
          <w:sz w:val="16"/>
          <w:szCs w:val="16"/>
        </w:rPr>
      </w:pPr>
    </w:p>
    <w:p w:rsidR="00B30F02" w:rsidRPr="008C367A" w:rsidRDefault="00B30F02" w:rsidP="00B30F02">
      <w:pPr>
        <w:rPr>
          <w:b/>
          <w:sz w:val="22"/>
          <w:szCs w:val="22"/>
        </w:rPr>
      </w:pPr>
      <w:r w:rsidRPr="008C367A">
        <w:rPr>
          <w:b/>
          <w:sz w:val="22"/>
          <w:szCs w:val="22"/>
        </w:rPr>
        <w:t>Funding Conditions</w:t>
      </w:r>
    </w:p>
    <w:tbl>
      <w:tblPr>
        <w:tblW w:w="8961" w:type="dxa"/>
        <w:tblLook w:val="04A0" w:firstRow="1" w:lastRow="0" w:firstColumn="1" w:lastColumn="0" w:noHBand="0" w:noVBand="1"/>
      </w:tblPr>
      <w:tblGrid>
        <w:gridCol w:w="2448"/>
        <w:gridCol w:w="1170"/>
        <w:gridCol w:w="1350"/>
        <w:gridCol w:w="3993"/>
      </w:tblGrid>
      <w:tr w:rsidR="008C367A" w:rsidRPr="00300211" w:rsidTr="00300211">
        <w:tc>
          <w:tcPr>
            <w:tcW w:w="2448" w:type="dxa"/>
          </w:tcPr>
          <w:p w:rsidR="008C367A" w:rsidRPr="00300211" w:rsidRDefault="003B7581" w:rsidP="00300211">
            <w:pPr>
              <w:pStyle w:val="Heading3"/>
              <w:ind w:left="-90"/>
              <w:rPr>
                <w:rFonts w:ascii="Times New Roman" w:hAnsi="Times New Roman"/>
                <w:sz w:val="20"/>
                <w:szCs w:val="20"/>
              </w:rPr>
            </w:pPr>
            <w:r w:rsidRPr="00300211">
              <w:rPr>
                <w:sz w:val="20"/>
                <w:szCs w:val="20"/>
              </w:rPr>
              <w:fldChar w:fldCharType="begin">
                <w:ffData>
                  <w:name w:val="Check1"/>
                  <w:enabled/>
                  <w:calcOnExit w:val="0"/>
                  <w:checkBox>
                    <w:sizeAuto/>
                    <w:default w:val="0"/>
                  </w:checkBox>
                </w:ffData>
              </w:fldChar>
            </w:r>
            <w:r w:rsidR="008C367A" w:rsidRPr="00300211">
              <w:rPr>
                <w:sz w:val="20"/>
                <w:szCs w:val="20"/>
              </w:rPr>
              <w:instrText xml:space="preserve"> FORMCHECKBOX </w:instrText>
            </w:r>
            <w:r w:rsidR="00516419">
              <w:rPr>
                <w:sz w:val="20"/>
                <w:szCs w:val="20"/>
              </w:rPr>
            </w:r>
            <w:r w:rsidR="00516419">
              <w:rPr>
                <w:sz w:val="20"/>
                <w:szCs w:val="20"/>
              </w:rPr>
              <w:fldChar w:fldCharType="separate"/>
            </w:r>
            <w:r w:rsidRPr="00300211">
              <w:rPr>
                <w:sz w:val="20"/>
                <w:szCs w:val="20"/>
              </w:rPr>
              <w:fldChar w:fldCharType="end"/>
            </w:r>
            <w:r w:rsidR="008C367A" w:rsidRPr="00300211">
              <w:rPr>
                <w:sz w:val="20"/>
                <w:szCs w:val="20"/>
              </w:rPr>
              <w:t>Environmental</w:t>
            </w:r>
          </w:p>
        </w:tc>
        <w:tc>
          <w:tcPr>
            <w:tcW w:w="1170" w:type="dxa"/>
          </w:tcPr>
          <w:p w:rsidR="008C367A" w:rsidRPr="00300211" w:rsidRDefault="003B7581" w:rsidP="00300211">
            <w:pPr>
              <w:pStyle w:val="Heading3"/>
              <w:ind w:left="-108"/>
              <w:rPr>
                <w:rFonts w:ascii="Times New Roman" w:hAnsi="Times New Roman"/>
                <w:sz w:val="20"/>
                <w:szCs w:val="20"/>
              </w:rPr>
            </w:pPr>
            <w:r w:rsidRPr="00300211">
              <w:rPr>
                <w:sz w:val="20"/>
                <w:szCs w:val="20"/>
              </w:rPr>
              <w:fldChar w:fldCharType="begin">
                <w:ffData>
                  <w:name w:val="Check2"/>
                  <w:enabled/>
                  <w:calcOnExit w:val="0"/>
                  <w:checkBox>
                    <w:sizeAuto/>
                    <w:default w:val="0"/>
                  </w:checkBox>
                </w:ffData>
              </w:fldChar>
            </w:r>
            <w:r w:rsidR="008C367A" w:rsidRPr="00300211">
              <w:rPr>
                <w:sz w:val="20"/>
                <w:szCs w:val="20"/>
              </w:rPr>
              <w:instrText xml:space="preserve"> FORMCHECKBOX </w:instrText>
            </w:r>
            <w:r w:rsidR="00516419">
              <w:rPr>
                <w:sz w:val="20"/>
                <w:szCs w:val="20"/>
              </w:rPr>
            </w:r>
            <w:r w:rsidR="00516419">
              <w:rPr>
                <w:sz w:val="20"/>
                <w:szCs w:val="20"/>
              </w:rPr>
              <w:fldChar w:fldCharType="separate"/>
            </w:r>
            <w:r w:rsidRPr="00300211">
              <w:rPr>
                <w:sz w:val="20"/>
                <w:szCs w:val="20"/>
              </w:rPr>
              <w:fldChar w:fldCharType="end"/>
            </w:r>
            <w:r w:rsidR="00082814" w:rsidRPr="00300211">
              <w:rPr>
                <w:sz w:val="20"/>
                <w:szCs w:val="20"/>
              </w:rPr>
              <w:t>Training</w:t>
            </w:r>
          </w:p>
        </w:tc>
        <w:tc>
          <w:tcPr>
            <w:tcW w:w="1350" w:type="dxa"/>
          </w:tcPr>
          <w:p w:rsidR="008C367A" w:rsidRPr="00300211" w:rsidRDefault="003B7581" w:rsidP="00300211">
            <w:pPr>
              <w:pStyle w:val="Heading3"/>
              <w:ind w:left="-108"/>
              <w:rPr>
                <w:rFonts w:ascii="Times New Roman" w:hAnsi="Times New Roman"/>
                <w:sz w:val="20"/>
                <w:szCs w:val="20"/>
              </w:rPr>
            </w:pPr>
            <w:r w:rsidRPr="00300211">
              <w:rPr>
                <w:sz w:val="20"/>
                <w:szCs w:val="20"/>
              </w:rPr>
              <w:fldChar w:fldCharType="begin">
                <w:ffData>
                  <w:name w:val="Check4"/>
                  <w:enabled/>
                  <w:calcOnExit w:val="0"/>
                  <w:checkBox>
                    <w:sizeAuto/>
                    <w:default w:val="0"/>
                  </w:checkBox>
                </w:ffData>
              </w:fldChar>
            </w:r>
            <w:r w:rsidR="003456AE" w:rsidRPr="00300211">
              <w:rPr>
                <w:sz w:val="20"/>
                <w:szCs w:val="20"/>
              </w:rPr>
              <w:instrText xml:space="preserve"> FORMCHECKBOX </w:instrText>
            </w:r>
            <w:r w:rsidR="00516419">
              <w:rPr>
                <w:sz w:val="20"/>
                <w:szCs w:val="20"/>
              </w:rPr>
            </w:r>
            <w:r w:rsidR="00516419">
              <w:rPr>
                <w:sz w:val="20"/>
                <w:szCs w:val="20"/>
              </w:rPr>
              <w:fldChar w:fldCharType="separate"/>
            </w:r>
            <w:r w:rsidRPr="00300211">
              <w:rPr>
                <w:sz w:val="20"/>
                <w:szCs w:val="20"/>
              </w:rPr>
              <w:fldChar w:fldCharType="end"/>
            </w:r>
            <w:r w:rsidR="001264C1" w:rsidRPr="00300211">
              <w:rPr>
                <w:sz w:val="20"/>
                <w:szCs w:val="20"/>
              </w:rPr>
              <w:t>Work Plan</w:t>
            </w:r>
          </w:p>
        </w:tc>
        <w:tc>
          <w:tcPr>
            <w:tcW w:w="3993" w:type="dxa"/>
          </w:tcPr>
          <w:p w:rsidR="008C367A" w:rsidRPr="00300211" w:rsidRDefault="003B7581" w:rsidP="00300211">
            <w:pPr>
              <w:pStyle w:val="Heading3"/>
              <w:ind w:left="-108"/>
              <w:rPr>
                <w:rFonts w:ascii="Times New Roman" w:hAnsi="Times New Roman"/>
                <w:sz w:val="20"/>
                <w:szCs w:val="20"/>
              </w:rPr>
            </w:pPr>
            <w:r w:rsidRPr="00300211">
              <w:rPr>
                <w:sz w:val="20"/>
                <w:szCs w:val="20"/>
              </w:rPr>
              <w:fldChar w:fldCharType="begin">
                <w:ffData>
                  <w:name w:val="Check3"/>
                  <w:enabled/>
                  <w:calcOnExit w:val="0"/>
                  <w:checkBox>
                    <w:sizeAuto/>
                    <w:default w:val="0"/>
                  </w:checkBox>
                </w:ffData>
              </w:fldChar>
            </w:r>
            <w:r w:rsidR="008C367A" w:rsidRPr="00300211">
              <w:rPr>
                <w:sz w:val="20"/>
                <w:szCs w:val="20"/>
              </w:rPr>
              <w:instrText xml:space="preserve"> FORMCHECKBOX </w:instrText>
            </w:r>
            <w:r w:rsidR="00516419">
              <w:rPr>
                <w:sz w:val="20"/>
                <w:szCs w:val="20"/>
              </w:rPr>
            </w:r>
            <w:r w:rsidR="00516419">
              <w:rPr>
                <w:sz w:val="20"/>
                <w:szCs w:val="20"/>
              </w:rPr>
              <w:fldChar w:fldCharType="separate"/>
            </w:r>
            <w:r w:rsidRPr="00300211">
              <w:rPr>
                <w:sz w:val="20"/>
                <w:szCs w:val="20"/>
              </w:rPr>
              <w:fldChar w:fldCharType="end"/>
            </w:r>
            <w:r w:rsidR="008C367A" w:rsidRPr="00300211">
              <w:rPr>
                <w:sz w:val="20"/>
                <w:szCs w:val="20"/>
              </w:rPr>
              <w:t>Administration Contract/Inter-local Agreement</w:t>
            </w:r>
          </w:p>
        </w:tc>
      </w:tr>
      <w:tr w:rsidR="008C367A" w:rsidRPr="00300211" w:rsidTr="00300211">
        <w:tc>
          <w:tcPr>
            <w:tcW w:w="2448" w:type="dxa"/>
          </w:tcPr>
          <w:p w:rsidR="008C367A" w:rsidRPr="00300211" w:rsidRDefault="003B7581" w:rsidP="00300211">
            <w:pPr>
              <w:pStyle w:val="Heading3"/>
              <w:ind w:left="-90"/>
              <w:rPr>
                <w:rFonts w:ascii="Times New Roman" w:hAnsi="Times New Roman"/>
                <w:sz w:val="20"/>
                <w:szCs w:val="20"/>
              </w:rPr>
            </w:pPr>
            <w:r w:rsidRPr="00300211">
              <w:rPr>
                <w:sz w:val="20"/>
                <w:szCs w:val="20"/>
              </w:rPr>
              <w:fldChar w:fldCharType="begin">
                <w:ffData>
                  <w:name w:val="Check11"/>
                  <w:enabled/>
                  <w:calcOnExit w:val="0"/>
                  <w:checkBox>
                    <w:sizeAuto/>
                    <w:default w:val="0"/>
                  </w:checkBox>
                </w:ffData>
              </w:fldChar>
            </w:r>
            <w:r w:rsidR="003456AE" w:rsidRPr="00300211">
              <w:rPr>
                <w:sz w:val="20"/>
                <w:szCs w:val="20"/>
              </w:rPr>
              <w:instrText xml:space="preserve"> FORMCHECKBOX </w:instrText>
            </w:r>
            <w:r w:rsidR="00516419">
              <w:rPr>
                <w:sz w:val="20"/>
                <w:szCs w:val="20"/>
              </w:rPr>
            </w:r>
            <w:r w:rsidR="00516419">
              <w:rPr>
                <w:sz w:val="20"/>
                <w:szCs w:val="20"/>
              </w:rPr>
              <w:fldChar w:fldCharType="separate"/>
            </w:r>
            <w:r w:rsidRPr="00300211">
              <w:rPr>
                <w:sz w:val="20"/>
                <w:szCs w:val="20"/>
              </w:rPr>
              <w:fldChar w:fldCharType="end"/>
            </w:r>
            <w:r w:rsidR="003456AE" w:rsidRPr="00300211">
              <w:rPr>
                <w:sz w:val="20"/>
                <w:szCs w:val="20"/>
              </w:rPr>
              <w:t>Legally Binding Contract</w:t>
            </w:r>
          </w:p>
        </w:tc>
        <w:tc>
          <w:tcPr>
            <w:tcW w:w="1170" w:type="dxa"/>
          </w:tcPr>
          <w:p w:rsidR="008C367A" w:rsidRPr="00300211" w:rsidRDefault="003B7581" w:rsidP="00300211">
            <w:pPr>
              <w:pStyle w:val="Heading3"/>
              <w:ind w:left="-108"/>
              <w:rPr>
                <w:rFonts w:ascii="Times New Roman" w:hAnsi="Times New Roman"/>
                <w:sz w:val="20"/>
                <w:szCs w:val="20"/>
              </w:rPr>
            </w:pPr>
            <w:r w:rsidRPr="00300211">
              <w:rPr>
                <w:sz w:val="20"/>
                <w:szCs w:val="20"/>
              </w:rPr>
              <w:fldChar w:fldCharType="begin">
                <w:ffData>
                  <w:name w:val="Check14"/>
                  <w:enabled/>
                  <w:calcOnExit w:val="0"/>
                  <w:checkBox>
                    <w:sizeAuto/>
                    <w:default w:val="0"/>
                  </w:checkBox>
                </w:ffData>
              </w:fldChar>
            </w:r>
            <w:r w:rsidR="003456AE" w:rsidRPr="00300211">
              <w:rPr>
                <w:sz w:val="20"/>
                <w:szCs w:val="20"/>
              </w:rPr>
              <w:instrText xml:space="preserve"> FORMCHECKBOX </w:instrText>
            </w:r>
            <w:r w:rsidR="00516419">
              <w:rPr>
                <w:sz w:val="20"/>
                <w:szCs w:val="20"/>
              </w:rPr>
            </w:r>
            <w:r w:rsidR="00516419">
              <w:rPr>
                <w:sz w:val="20"/>
                <w:szCs w:val="20"/>
              </w:rPr>
              <w:fldChar w:fldCharType="separate"/>
            </w:r>
            <w:r w:rsidRPr="00300211">
              <w:rPr>
                <w:sz w:val="20"/>
                <w:szCs w:val="20"/>
              </w:rPr>
              <w:fldChar w:fldCharType="end"/>
            </w:r>
            <w:r w:rsidR="003456AE" w:rsidRPr="00300211">
              <w:rPr>
                <w:sz w:val="20"/>
                <w:szCs w:val="20"/>
              </w:rPr>
              <w:t>Lien</w:t>
            </w:r>
          </w:p>
        </w:tc>
        <w:tc>
          <w:tcPr>
            <w:tcW w:w="1350" w:type="dxa"/>
          </w:tcPr>
          <w:p w:rsidR="008C367A" w:rsidRPr="00300211" w:rsidRDefault="003B7581" w:rsidP="00300211">
            <w:pPr>
              <w:pStyle w:val="Heading3"/>
              <w:ind w:left="-108"/>
              <w:rPr>
                <w:rFonts w:ascii="Times New Roman" w:hAnsi="Times New Roman"/>
                <w:sz w:val="20"/>
                <w:szCs w:val="20"/>
              </w:rPr>
            </w:pPr>
            <w:r w:rsidRPr="00300211">
              <w:rPr>
                <w:sz w:val="20"/>
                <w:szCs w:val="20"/>
              </w:rPr>
              <w:fldChar w:fldCharType="begin">
                <w:ffData>
                  <w:name w:val="Check6"/>
                  <w:enabled/>
                  <w:calcOnExit w:val="0"/>
                  <w:checkBox>
                    <w:sizeAuto/>
                    <w:default w:val="0"/>
                  </w:checkBox>
                </w:ffData>
              </w:fldChar>
            </w:r>
            <w:r w:rsidR="003456AE" w:rsidRPr="00300211">
              <w:rPr>
                <w:sz w:val="20"/>
                <w:szCs w:val="20"/>
              </w:rPr>
              <w:instrText xml:space="preserve"> FORMCHECKBOX </w:instrText>
            </w:r>
            <w:r w:rsidR="00516419">
              <w:rPr>
                <w:sz w:val="20"/>
                <w:szCs w:val="20"/>
              </w:rPr>
            </w:r>
            <w:r w:rsidR="00516419">
              <w:rPr>
                <w:sz w:val="20"/>
                <w:szCs w:val="20"/>
              </w:rPr>
              <w:fldChar w:fldCharType="separate"/>
            </w:r>
            <w:r w:rsidRPr="00300211">
              <w:rPr>
                <w:sz w:val="20"/>
                <w:szCs w:val="20"/>
              </w:rPr>
              <w:fldChar w:fldCharType="end"/>
            </w:r>
            <w:r w:rsidR="00082814" w:rsidRPr="00300211">
              <w:rPr>
                <w:sz w:val="20"/>
                <w:szCs w:val="20"/>
              </w:rPr>
              <w:t>Assurance</w:t>
            </w:r>
          </w:p>
        </w:tc>
        <w:tc>
          <w:tcPr>
            <w:tcW w:w="3993" w:type="dxa"/>
          </w:tcPr>
          <w:p w:rsidR="008C367A" w:rsidRPr="00300211" w:rsidRDefault="003B7581" w:rsidP="00300211">
            <w:pPr>
              <w:pStyle w:val="Heading3"/>
              <w:ind w:left="-108"/>
              <w:rPr>
                <w:rFonts w:ascii="Times New Roman" w:hAnsi="Times New Roman"/>
                <w:sz w:val="20"/>
                <w:szCs w:val="20"/>
              </w:rPr>
            </w:pPr>
            <w:r w:rsidRPr="00300211">
              <w:rPr>
                <w:sz w:val="20"/>
                <w:szCs w:val="20"/>
              </w:rPr>
              <w:fldChar w:fldCharType="begin">
                <w:ffData>
                  <w:name w:val="Check15"/>
                  <w:enabled/>
                  <w:calcOnExit w:val="0"/>
                  <w:checkBox>
                    <w:sizeAuto/>
                    <w:default w:val="0"/>
                  </w:checkBox>
                </w:ffData>
              </w:fldChar>
            </w:r>
            <w:r w:rsidR="008C367A" w:rsidRPr="00300211">
              <w:rPr>
                <w:sz w:val="20"/>
                <w:szCs w:val="20"/>
              </w:rPr>
              <w:instrText xml:space="preserve"> FORMCHECKBOX </w:instrText>
            </w:r>
            <w:r w:rsidR="00516419">
              <w:rPr>
                <w:sz w:val="20"/>
                <w:szCs w:val="20"/>
              </w:rPr>
            </w:r>
            <w:r w:rsidR="00516419">
              <w:rPr>
                <w:sz w:val="20"/>
                <w:szCs w:val="20"/>
              </w:rPr>
              <w:fldChar w:fldCharType="separate"/>
            </w:r>
            <w:r w:rsidRPr="00300211">
              <w:rPr>
                <w:sz w:val="20"/>
                <w:szCs w:val="20"/>
              </w:rPr>
              <w:fldChar w:fldCharType="end"/>
            </w:r>
            <w:r w:rsidR="008C367A" w:rsidRPr="00300211">
              <w:rPr>
                <w:sz w:val="20"/>
                <w:szCs w:val="20"/>
              </w:rPr>
              <w:t>Performance Based Contract</w:t>
            </w:r>
          </w:p>
        </w:tc>
      </w:tr>
      <w:tr w:rsidR="008C367A" w:rsidRPr="00300211" w:rsidTr="00300211">
        <w:tc>
          <w:tcPr>
            <w:tcW w:w="2448" w:type="dxa"/>
          </w:tcPr>
          <w:p w:rsidR="008C367A" w:rsidRPr="00300211" w:rsidRDefault="003B7581" w:rsidP="00300211">
            <w:pPr>
              <w:pStyle w:val="Heading3"/>
              <w:ind w:left="-90"/>
              <w:rPr>
                <w:rFonts w:ascii="Times New Roman" w:hAnsi="Times New Roman"/>
                <w:sz w:val="20"/>
                <w:szCs w:val="20"/>
              </w:rPr>
            </w:pPr>
            <w:r w:rsidRPr="00300211">
              <w:rPr>
                <w:sz w:val="20"/>
                <w:szCs w:val="20"/>
              </w:rPr>
              <w:fldChar w:fldCharType="begin">
                <w:ffData>
                  <w:name w:val="Check12"/>
                  <w:enabled/>
                  <w:calcOnExit w:val="0"/>
                  <w:checkBox>
                    <w:sizeAuto/>
                    <w:default w:val="0"/>
                  </w:checkBox>
                </w:ffData>
              </w:fldChar>
            </w:r>
            <w:r w:rsidR="003456AE" w:rsidRPr="00300211">
              <w:rPr>
                <w:sz w:val="20"/>
                <w:szCs w:val="20"/>
              </w:rPr>
              <w:instrText xml:space="preserve"> FORMCHECKBOX </w:instrText>
            </w:r>
            <w:r w:rsidR="00516419">
              <w:rPr>
                <w:sz w:val="20"/>
                <w:szCs w:val="20"/>
              </w:rPr>
            </w:r>
            <w:r w:rsidR="00516419">
              <w:rPr>
                <w:sz w:val="20"/>
                <w:szCs w:val="20"/>
              </w:rPr>
              <w:fldChar w:fldCharType="separate"/>
            </w:r>
            <w:r w:rsidRPr="00300211">
              <w:rPr>
                <w:sz w:val="20"/>
                <w:szCs w:val="20"/>
              </w:rPr>
              <w:fldChar w:fldCharType="end"/>
            </w:r>
            <w:r w:rsidR="00D72CBA" w:rsidRPr="00300211">
              <w:rPr>
                <w:sz w:val="20"/>
                <w:szCs w:val="20"/>
              </w:rPr>
              <w:t>Amendment</w:t>
            </w:r>
          </w:p>
        </w:tc>
        <w:tc>
          <w:tcPr>
            <w:tcW w:w="1170" w:type="dxa"/>
          </w:tcPr>
          <w:p w:rsidR="008C367A" w:rsidRPr="00300211" w:rsidRDefault="003B7581" w:rsidP="00300211">
            <w:pPr>
              <w:pStyle w:val="Heading3"/>
              <w:ind w:left="-108"/>
              <w:rPr>
                <w:rFonts w:ascii="Times New Roman" w:hAnsi="Times New Roman"/>
                <w:sz w:val="20"/>
                <w:szCs w:val="20"/>
              </w:rPr>
            </w:pPr>
            <w:r w:rsidRPr="00300211">
              <w:rPr>
                <w:sz w:val="20"/>
                <w:szCs w:val="20"/>
              </w:rPr>
              <w:fldChar w:fldCharType="begin">
                <w:ffData>
                  <w:name w:val="Check13"/>
                  <w:enabled/>
                  <w:calcOnExit w:val="0"/>
                  <w:checkBox>
                    <w:sizeAuto/>
                    <w:default w:val="0"/>
                  </w:checkBox>
                </w:ffData>
              </w:fldChar>
            </w:r>
            <w:r w:rsidR="003456AE" w:rsidRPr="00300211">
              <w:rPr>
                <w:sz w:val="20"/>
                <w:szCs w:val="20"/>
              </w:rPr>
              <w:instrText xml:space="preserve"> FORMCHECKBOX </w:instrText>
            </w:r>
            <w:r w:rsidR="00516419">
              <w:rPr>
                <w:sz w:val="20"/>
                <w:szCs w:val="20"/>
              </w:rPr>
            </w:r>
            <w:r w:rsidR="00516419">
              <w:rPr>
                <w:sz w:val="20"/>
                <w:szCs w:val="20"/>
              </w:rPr>
              <w:fldChar w:fldCharType="separate"/>
            </w:r>
            <w:r w:rsidRPr="00300211">
              <w:rPr>
                <w:sz w:val="20"/>
                <w:szCs w:val="20"/>
              </w:rPr>
              <w:fldChar w:fldCharType="end"/>
            </w:r>
            <w:r w:rsidR="00D72CBA" w:rsidRPr="00300211">
              <w:rPr>
                <w:sz w:val="20"/>
                <w:szCs w:val="20"/>
              </w:rPr>
              <w:t>LMI Map</w:t>
            </w:r>
          </w:p>
        </w:tc>
        <w:tc>
          <w:tcPr>
            <w:tcW w:w="1350" w:type="dxa"/>
          </w:tcPr>
          <w:p w:rsidR="008C367A" w:rsidRPr="00300211" w:rsidRDefault="003B7581" w:rsidP="00300211">
            <w:pPr>
              <w:pStyle w:val="Heading3"/>
              <w:ind w:left="-108"/>
              <w:rPr>
                <w:rFonts w:ascii="Times New Roman" w:hAnsi="Times New Roman"/>
                <w:sz w:val="20"/>
                <w:szCs w:val="20"/>
              </w:rPr>
            </w:pPr>
            <w:r w:rsidRPr="00300211">
              <w:rPr>
                <w:sz w:val="20"/>
                <w:szCs w:val="20"/>
              </w:rPr>
              <w:fldChar w:fldCharType="begin">
                <w:ffData>
                  <w:name w:val="Check8"/>
                  <w:enabled/>
                  <w:calcOnExit w:val="0"/>
                  <w:checkBox>
                    <w:sizeAuto/>
                    <w:default w:val="0"/>
                  </w:checkBox>
                </w:ffData>
              </w:fldChar>
            </w:r>
            <w:r w:rsidR="003456AE" w:rsidRPr="00300211">
              <w:rPr>
                <w:sz w:val="20"/>
                <w:szCs w:val="20"/>
              </w:rPr>
              <w:instrText xml:space="preserve"> FORMCHECKBOX </w:instrText>
            </w:r>
            <w:r w:rsidR="00516419">
              <w:rPr>
                <w:sz w:val="20"/>
                <w:szCs w:val="20"/>
              </w:rPr>
            </w:r>
            <w:r w:rsidR="00516419">
              <w:rPr>
                <w:sz w:val="20"/>
                <w:szCs w:val="20"/>
              </w:rPr>
              <w:fldChar w:fldCharType="separate"/>
            </w:r>
            <w:r w:rsidRPr="00300211">
              <w:rPr>
                <w:sz w:val="20"/>
                <w:szCs w:val="20"/>
              </w:rPr>
              <w:fldChar w:fldCharType="end"/>
            </w:r>
            <w:r w:rsidR="00E82D92" w:rsidRPr="00300211">
              <w:rPr>
                <w:sz w:val="20"/>
                <w:szCs w:val="20"/>
              </w:rPr>
              <w:t>Floodplain</w:t>
            </w:r>
          </w:p>
        </w:tc>
        <w:tc>
          <w:tcPr>
            <w:tcW w:w="3993" w:type="dxa"/>
          </w:tcPr>
          <w:p w:rsidR="008C367A" w:rsidRPr="00300211" w:rsidRDefault="003B7581" w:rsidP="00300211">
            <w:pPr>
              <w:pStyle w:val="Heading3"/>
              <w:ind w:left="-108"/>
              <w:rPr>
                <w:rFonts w:ascii="Times New Roman" w:hAnsi="Times New Roman"/>
                <w:sz w:val="20"/>
                <w:szCs w:val="20"/>
              </w:rPr>
            </w:pPr>
            <w:r w:rsidRPr="00300211">
              <w:rPr>
                <w:sz w:val="20"/>
                <w:szCs w:val="20"/>
              </w:rPr>
              <w:fldChar w:fldCharType="begin">
                <w:ffData>
                  <w:name w:val="Check7"/>
                  <w:enabled/>
                  <w:calcOnExit w:val="0"/>
                  <w:checkBox>
                    <w:sizeAuto/>
                    <w:default w:val="0"/>
                  </w:checkBox>
                </w:ffData>
              </w:fldChar>
            </w:r>
            <w:r w:rsidR="008C367A" w:rsidRPr="00300211">
              <w:rPr>
                <w:sz w:val="20"/>
                <w:szCs w:val="20"/>
              </w:rPr>
              <w:instrText xml:space="preserve"> FORMCHECKBOX </w:instrText>
            </w:r>
            <w:r w:rsidR="00516419">
              <w:rPr>
                <w:sz w:val="20"/>
                <w:szCs w:val="20"/>
              </w:rPr>
            </w:r>
            <w:r w:rsidR="00516419">
              <w:rPr>
                <w:sz w:val="20"/>
                <w:szCs w:val="20"/>
              </w:rPr>
              <w:fldChar w:fldCharType="separate"/>
            </w:r>
            <w:r w:rsidRPr="00300211">
              <w:rPr>
                <w:sz w:val="20"/>
                <w:szCs w:val="20"/>
              </w:rPr>
              <w:fldChar w:fldCharType="end"/>
            </w:r>
            <w:r w:rsidR="008C367A" w:rsidRPr="00300211">
              <w:rPr>
                <w:sz w:val="20"/>
                <w:szCs w:val="20"/>
              </w:rPr>
              <w:t>Use of Experienced CDBG Administrator</w:t>
            </w:r>
          </w:p>
        </w:tc>
      </w:tr>
      <w:tr w:rsidR="008C367A" w:rsidRPr="00300211" w:rsidTr="00300211">
        <w:tc>
          <w:tcPr>
            <w:tcW w:w="2448" w:type="dxa"/>
          </w:tcPr>
          <w:p w:rsidR="008C367A" w:rsidRPr="00300211" w:rsidRDefault="003B7581" w:rsidP="00300211">
            <w:pPr>
              <w:pStyle w:val="Heading3"/>
              <w:ind w:left="-90"/>
              <w:rPr>
                <w:rFonts w:ascii="Times New Roman" w:hAnsi="Times New Roman"/>
                <w:sz w:val="20"/>
                <w:szCs w:val="20"/>
              </w:rPr>
            </w:pPr>
            <w:r w:rsidRPr="00300211">
              <w:rPr>
                <w:sz w:val="20"/>
                <w:szCs w:val="20"/>
              </w:rPr>
              <w:fldChar w:fldCharType="begin">
                <w:ffData>
                  <w:name w:val="Check16"/>
                  <w:enabled/>
                  <w:calcOnExit w:val="0"/>
                  <w:checkBox>
                    <w:sizeAuto/>
                    <w:default w:val="0"/>
                  </w:checkBox>
                </w:ffData>
              </w:fldChar>
            </w:r>
            <w:r w:rsidR="003456AE" w:rsidRPr="00300211">
              <w:rPr>
                <w:sz w:val="20"/>
                <w:szCs w:val="20"/>
              </w:rPr>
              <w:instrText xml:space="preserve"> FORMCHECKBOX </w:instrText>
            </w:r>
            <w:r w:rsidR="00516419">
              <w:rPr>
                <w:sz w:val="20"/>
                <w:szCs w:val="20"/>
              </w:rPr>
            </w:r>
            <w:r w:rsidR="00516419">
              <w:rPr>
                <w:sz w:val="20"/>
                <w:szCs w:val="20"/>
              </w:rPr>
              <w:fldChar w:fldCharType="separate"/>
            </w:r>
            <w:r w:rsidRPr="00300211">
              <w:rPr>
                <w:sz w:val="20"/>
                <w:szCs w:val="20"/>
              </w:rPr>
              <w:fldChar w:fldCharType="end"/>
            </w:r>
            <w:r w:rsidR="001264C1" w:rsidRPr="00300211">
              <w:rPr>
                <w:sz w:val="20"/>
                <w:szCs w:val="20"/>
              </w:rPr>
              <w:t>Citizen Participation</w:t>
            </w:r>
          </w:p>
        </w:tc>
        <w:tc>
          <w:tcPr>
            <w:tcW w:w="1170" w:type="dxa"/>
          </w:tcPr>
          <w:p w:rsidR="008C367A" w:rsidRPr="00300211" w:rsidRDefault="003B7581" w:rsidP="00300211">
            <w:pPr>
              <w:pStyle w:val="Heading3"/>
              <w:ind w:left="-108"/>
              <w:rPr>
                <w:rFonts w:ascii="Times New Roman" w:hAnsi="Times New Roman"/>
                <w:sz w:val="20"/>
                <w:szCs w:val="20"/>
              </w:rPr>
            </w:pPr>
            <w:r w:rsidRPr="00300211">
              <w:rPr>
                <w:sz w:val="20"/>
                <w:szCs w:val="20"/>
              </w:rPr>
              <w:fldChar w:fldCharType="begin">
                <w:ffData>
                  <w:name w:val="Check17"/>
                  <w:enabled/>
                  <w:calcOnExit w:val="0"/>
                  <w:checkBox>
                    <w:sizeAuto/>
                    <w:default w:val="0"/>
                  </w:checkBox>
                </w:ffData>
              </w:fldChar>
            </w:r>
            <w:r w:rsidR="003456AE" w:rsidRPr="00300211">
              <w:rPr>
                <w:sz w:val="20"/>
                <w:szCs w:val="20"/>
              </w:rPr>
              <w:instrText xml:space="preserve"> FORMCHECKBOX </w:instrText>
            </w:r>
            <w:r w:rsidR="00516419">
              <w:rPr>
                <w:sz w:val="20"/>
                <w:szCs w:val="20"/>
              </w:rPr>
            </w:r>
            <w:r w:rsidR="00516419">
              <w:rPr>
                <w:sz w:val="20"/>
                <w:szCs w:val="20"/>
              </w:rPr>
              <w:fldChar w:fldCharType="separate"/>
            </w:r>
            <w:r w:rsidRPr="00300211">
              <w:rPr>
                <w:sz w:val="20"/>
                <w:szCs w:val="20"/>
              </w:rPr>
              <w:fldChar w:fldCharType="end"/>
            </w:r>
            <w:r w:rsidR="00E82D92" w:rsidRPr="00300211">
              <w:rPr>
                <w:sz w:val="20"/>
                <w:szCs w:val="20"/>
              </w:rPr>
              <w:t>Closeout</w:t>
            </w:r>
          </w:p>
        </w:tc>
        <w:tc>
          <w:tcPr>
            <w:tcW w:w="1350" w:type="dxa"/>
          </w:tcPr>
          <w:p w:rsidR="008C367A" w:rsidRPr="00300211" w:rsidRDefault="003B7581" w:rsidP="00300211">
            <w:pPr>
              <w:pStyle w:val="Heading3"/>
              <w:ind w:left="-108"/>
              <w:rPr>
                <w:rFonts w:ascii="Times New Roman" w:hAnsi="Times New Roman"/>
                <w:sz w:val="20"/>
                <w:szCs w:val="20"/>
              </w:rPr>
            </w:pPr>
            <w:r w:rsidRPr="00300211">
              <w:rPr>
                <w:sz w:val="20"/>
                <w:szCs w:val="20"/>
              </w:rPr>
              <w:fldChar w:fldCharType="begin">
                <w:ffData>
                  <w:name w:val="Check9"/>
                  <w:enabled/>
                  <w:calcOnExit w:val="0"/>
                  <w:checkBox>
                    <w:sizeAuto/>
                    <w:default w:val="0"/>
                  </w:checkBox>
                </w:ffData>
              </w:fldChar>
            </w:r>
            <w:r w:rsidR="003456AE" w:rsidRPr="00300211">
              <w:rPr>
                <w:sz w:val="20"/>
                <w:szCs w:val="20"/>
              </w:rPr>
              <w:instrText xml:space="preserve"> FORMCHECKBOX </w:instrText>
            </w:r>
            <w:r w:rsidR="00516419">
              <w:rPr>
                <w:sz w:val="20"/>
                <w:szCs w:val="20"/>
              </w:rPr>
            </w:r>
            <w:r w:rsidR="00516419">
              <w:rPr>
                <w:sz w:val="20"/>
                <w:szCs w:val="20"/>
              </w:rPr>
              <w:fldChar w:fldCharType="separate"/>
            </w:r>
            <w:r w:rsidRPr="00300211">
              <w:rPr>
                <w:sz w:val="20"/>
                <w:szCs w:val="20"/>
              </w:rPr>
              <w:fldChar w:fldCharType="end"/>
            </w:r>
            <w:r w:rsidR="00082814" w:rsidRPr="00300211">
              <w:rPr>
                <w:sz w:val="20"/>
                <w:szCs w:val="20"/>
              </w:rPr>
              <w:t>Sequence</w:t>
            </w:r>
          </w:p>
        </w:tc>
        <w:tc>
          <w:tcPr>
            <w:tcW w:w="3993" w:type="dxa"/>
          </w:tcPr>
          <w:p w:rsidR="008C367A" w:rsidRPr="00300211" w:rsidRDefault="003B7581" w:rsidP="00300211">
            <w:pPr>
              <w:pStyle w:val="Heading3"/>
              <w:ind w:left="-108"/>
              <w:rPr>
                <w:rFonts w:ascii="Times New Roman" w:hAnsi="Times New Roman"/>
                <w:sz w:val="20"/>
                <w:szCs w:val="20"/>
              </w:rPr>
            </w:pPr>
            <w:r w:rsidRPr="00300211">
              <w:rPr>
                <w:sz w:val="20"/>
                <w:szCs w:val="20"/>
              </w:rPr>
              <w:fldChar w:fldCharType="begin">
                <w:ffData>
                  <w:name w:val="Check10"/>
                  <w:enabled/>
                  <w:calcOnExit w:val="0"/>
                  <w:checkBox>
                    <w:sizeAuto/>
                    <w:default w:val="0"/>
                  </w:checkBox>
                </w:ffData>
              </w:fldChar>
            </w:r>
            <w:r w:rsidR="003456AE" w:rsidRPr="00300211">
              <w:rPr>
                <w:sz w:val="20"/>
                <w:szCs w:val="20"/>
              </w:rPr>
              <w:instrText xml:space="preserve"> FORMCHECKBOX </w:instrText>
            </w:r>
            <w:r w:rsidR="00516419">
              <w:rPr>
                <w:sz w:val="20"/>
                <w:szCs w:val="20"/>
              </w:rPr>
            </w:r>
            <w:r w:rsidR="00516419">
              <w:rPr>
                <w:sz w:val="20"/>
                <w:szCs w:val="20"/>
              </w:rPr>
              <w:fldChar w:fldCharType="separate"/>
            </w:r>
            <w:r w:rsidRPr="00300211">
              <w:rPr>
                <w:sz w:val="20"/>
                <w:szCs w:val="20"/>
              </w:rPr>
              <w:fldChar w:fldCharType="end"/>
            </w:r>
            <w:r w:rsidR="003456AE" w:rsidRPr="00300211">
              <w:rPr>
                <w:sz w:val="20"/>
                <w:szCs w:val="20"/>
              </w:rPr>
              <w:t>Accomplishments &amp; Beneficiaries</w:t>
            </w:r>
          </w:p>
        </w:tc>
      </w:tr>
      <w:tr w:rsidR="008C367A" w:rsidRPr="00300211" w:rsidTr="00300211">
        <w:tc>
          <w:tcPr>
            <w:tcW w:w="2448" w:type="dxa"/>
            <w:tcBorders>
              <w:bottom w:val="single" w:sz="4" w:space="0" w:color="auto"/>
            </w:tcBorders>
          </w:tcPr>
          <w:p w:rsidR="008C367A" w:rsidRPr="00300211" w:rsidRDefault="003B7581" w:rsidP="00300211">
            <w:pPr>
              <w:pStyle w:val="Heading3"/>
              <w:ind w:left="-90"/>
              <w:rPr>
                <w:rFonts w:ascii="Times New Roman" w:hAnsi="Times New Roman"/>
                <w:sz w:val="20"/>
                <w:szCs w:val="20"/>
              </w:rPr>
            </w:pPr>
            <w:r w:rsidRPr="00300211">
              <w:rPr>
                <w:rFonts w:ascii="Times New Roman" w:hAnsi="Times New Roman"/>
                <w:sz w:val="20"/>
                <w:szCs w:val="20"/>
              </w:rPr>
              <w:fldChar w:fldCharType="begin">
                <w:ffData>
                  <w:name w:val="Check19"/>
                  <w:enabled/>
                  <w:calcOnExit w:val="0"/>
                  <w:checkBox>
                    <w:sizeAuto/>
                    <w:default w:val="0"/>
                  </w:checkBox>
                </w:ffData>
              </w:fldChar>
            </w:r>
            <w:bookmarkStart w:id="0" w:name="Check19"/>
            <w:r w:rsidR="003456AE" w:rsidRPr="00300211">
              <w:rPr>
                <w:rFonts w:ascii="Times New Roman" w:hAnsi="Times New Roman"/>
                <w:sz w:val="20"/>
                <w:szCs w:val="20"/>
              </w:rPr>
              <w:instrText xml:space="preserve"> FORMCHECKBOX </w:instrText>
            </w:r>
            <w:r w:rsidR="00516419">
              <w:rPr>
                <w:rFonts w:ascii="Times New Roman" w:hAnsi="Times New Roman"/>
                <w:sz w:val="20"/>
                <w:szCs w:val="20"/>
              </w:rPr>
            </w:r>
            <w:r w:rsidR="00516419">
              <w:rPr>
                <w:rFonts w:ascii="Times New Roman" w:hAnsi="Times New Roman"/>
                <w:sz w:val="20"/>
                <w:szCs w:val="20"/>
              </w:rPr>
              <w:fldChar w:fldCharType="separate"/>
            </w:r>
            <w:r w:rsidRPr="00300211">
              <w:rPr>
                <w:rFonts w:ascii="Times New Roman" w:hAnsi="Times New Roman"/>
                <w:sz w:val="20"/>
                <w:szCs w:val="20"/>
              </w:rPr>
              <w:fldChar w:fldCharType="end"/>
            </w:r>
            <w:bookmarkEnd w:id="0"/>
          </w:p>
        </w:tc>
        <w:tc>
          <w:tcPr>
            <w:tcW w:w="1170" w:type="dxa"/>
            <w:tcBorders>
              <w:bottom w:val="single" w:sz="4" w:space="0" w:color="auto"/>
            </w:tcBorders>
          </w:tcPr>
          <w:p w:rsidR="008C367A" w:rsidRPr="00300211" w:rsidRDefault="003B7581" w:rsidP="00300211">
            <w:pPr>
              <w:pStyle w:val="Heading3"/>
              <w:ind w:left="-108"/>
              <w:rPr>
                <w:rFonts w:ascii="Times New Roman" w:hAnsi="Times New Roman"/>
                <w:sz w:val="20"/>
                <w:szCs w:val="20"/>
              </w:rPr>
            </w:pPr>
            <w:r w:rsidRPr="00300211">
              <w:rPr>
                <w:rFonts w:ascii="Times New Roman" w:hAnsi="Times New Roman"/>
                <w:sz w:val="20"/>
                <w:szCs w:val="20"/>
              </w:rPr>
              <w:fldChar w:fldCharType="begin">
                <w:ffData>
                  <w:name w:val="Check20"/>
                  <w:enabled/>
                  <w:calcOnExit w:val="0"/>
                  <w:checkBox>
                    <w:sizeAuto/>
                    <w:default w:val="0"/>
                  </w:checkBox>
                </w:ffData>
              </w:fldChar>
            </w:r>
            <w:bookmarkStart w:id="1" w:name="Check20"/>
            <w:r w:rsidR="003456AE" w:rsidRPr="00300211">
              <w:rPr>
                <w:rFonts w:ascii="Times New Roman" w:hAnsi="Times New Roman"/>
                <w:sz w:val="20"/>
                <w:szCs w:val="20"/>
              </w:rPr>
              <w:instrText xml:space="preserve"> FORMCHECKBOX </w:instrText>
            </w:r>
            <w:r w:rsidR="00516419">
              <w:rPr>
                <w:rFonts w:ascii="Times New Roman" w:hAnsi="Times New Roman"/>
                <w:sz w:val="20"/>
                <w:szCs w:val="20"/>
              </w:rPr>
            </w:r>
            <w:r w:rsidR="00516419">
              <w:rPr>
                <w:rFonts w:ascii="Times New Roman" w:hAnsi="Times New Roman"/>
                <w:sz w:val="20"/>
                <w:szCs w:val="20"/>
              </w:rPr>
              <w:fldChar w:fldCharType="separate"/>
            </w:r>
            <w:r w:rsidRPr="00300211">
              <w:rPr>
                <w:rFonts w:ascii="Times New Roman" w:hAnsi="Times New Roman"/>
                <w:sz w:val="20"/>
                <w:szCs w:val="20"/>
              </w:rPr>
              <w:fldChar w:fldCharType="end"/>
            </w:r>
            <w:bookmarkEnd w:id="1"/>
          </w:p>
        </w:tc>
        <w:tc>
          <w:tcPr>
            <w:tcW w:w="1350" w:type="dxa"/>
            <w:tcBorders>
              <w:bottom w:val="single" w:sz="4" w:space="0" w:color="auto"/>
            </w:tcBorders>
          </w:tcPr>
          <w:p w:rsidR="008C367A" w:rsidRPr="00300211" w:rsidRDefault="003B7581" w:rsidP="00300211">
            <w:pPr>
              <w:pStyle w:val="Heading3"/>
              <w:ind w:left="-108"/>
              <w:rPr>
                <w:rFonts w:ascii="Times New Roman" w:hAnsi="Times New Roman"/>
                <w:sz w:val="20"/>
                <w:szCs w:val="20"/>
              </w:rPr>
            </w:pPr>
            <w:r w:rsidRPr="00300211">
              <w:rPr>
                <w:rFonts w:ascii="Times New Roman" w:hAnsi="Times New Roman"/>
                <w:sz w:val="20"/>
                <w:szCs w:val="20"/>
              </w:rPr>
              <w:fldChar w:fldCharType="begin">
                <w:ffData>
                  <w:name w:val="Check21"/>
                  <w:enabled/>
                  <w:calcOnExit w:val="0"/>
                  <w:checkBox>
                    <w:sizeAuto/>
                    <w:default w:val="0"/>
                  </w:checkBox>
                </w:ffData>
              </w:fldChar>
            </w:r>
            <w:bookmarkStart w:id="2" w:name="Check21"/>
            <w:r w:rsidR="003456AE" w:rsidRPr="00300211">
              <w:rPr>
                <w:rFonts w:ascii="Times New Roman" w:hAnsi="Times New Roman"/>
                <w:sz w:val="20"/>
                <w:szCs w:val="20"/>
              </w:rPr>
              <w:instrText xml:space="preserve"> FORMCHECKBOX </w:instrText>
            </w:r>
            <w:r w:rsidR="00516419">
              <w:rPr>
                <w:rFonts w:ascii="Times New Roman" w:hAnsi="Times New Roman"/>
                <w:sz w:val="20"/>
                <w:szCs w:val="20"/>
              </w:rPr>
            </w:r>
            <w:r w:rsidR="00516419">
              <w:rPr>
                <w:rFonts w:ascii="Times New Roman" w:hAnsi="Times New Roman"/>
                <w:sz w:val="20"/>
                <w:szCs w:val="20"/>
              </w:rPr>
              <w:fldChar w:fldCharType="separate"/>
            </w:r>
            <w:r w:rsidRPr="00300211">
              <w:rPr>
                <w:rFonts w:ascii="Times New Roman" w:hAnsi="Times New Roman"/>
                <w:sz w:val="20"/>
                <w:szCs w:val="20"/>
              </w:rPr>
              <w:fldChar w:fldCharType="end"/>
            </w:r>
            <w:bookmarkEnd w:id="2"/>
          </w:p>
        </w:tc>
        <w:tc>
          <w:tcPr>
            <w:tcW w:w="3993" w:type="dxa"/>
            <w:tcBorders>
              <w:bottom w:val="single" w:sz="4" w:space="0" w:color="auto"/>
            </w:tcBorders>
          </w:tcPr>
          <w:p w:rsidR="008C367A" w:rsidRPr="00300211" w:rsidRDefault="003B7581" w:rsidP="00300211">
            <w:pPr>
              <w:pStyle w:val="Heading3"/>
              <w:ind w:left="-108"/>
              <w:rPr>
                <w:rFonts w:ascii="Times New Roman" w:hAnsi="Times New Roman"/>
                <w:sz w:val="20"/>
                <w:szCs w:val="20"/>
              </w:rPr>
            </w:pPr>
            <w:r w:rsidRPr="00300211">
              <w:rPr>
                <w:rFonts w:ascii="Times New Roman" w:hAnsi="Times New Roman"/>
                <w:sz w:val="20"/>
                <w:szCs w:val="20"/>
              </w:rPr>
              <w:fldChar w:fldCharType="begin">
                <w:ffData>
                  <w:name w:val="Check22"/>
                  <w:enabled/>
                  <w:calcOnExit w:val="0"/>
                  <w:checkBox>
                    <w:sizeAuto/>
                    <w:default w:val="0"/>
                  </w:checkBox>
                </w:ffData>
              </w:fldChar>
            </w:r>
            <w:bookmarkStart w:id="3" w:name="Check22"/>
            <w:r w:rsidR="003456AE" w:rsidRPr="00300211">
              <w:rPr>
                <w:rFonts w:ascii="Times New Roman" w:hAnsi="Times New Roman"/>
                <w:sz w:val="20"/>
                <w:szCs w:val="20"/>
              </w:rPr>
              <w:instrText xml:space="preserve"> FORMCHECKBOX </w:instrText>
            </w:r>
            <w:r w:rsidR="00516419">
              <w:rPr>
                <w:rFonts w:ascii="Times New Roman" w:hAnsi="Times New Roman"/>
                <w:sz w:val="20"/>
                <w:szCs w:val="20"/>
              </w:rPr>
            </w:r>
            <w:r w:rsidR="00516419">
              <w:rPr>
                <w:rFonts w:ascii="Times New Roman" w:hAnsi="Times New Roman"/>
                <w:sz w:val="20"/>
                <w:szCs w:val="20"/>
              </w:rPr>
              <w:fldChar w:fldCharType="separate"/>
            </w:r>
            <w:r w:rsidRPr="00300211">
              <w:rPr>
                <w:rFonts w:ascii="Times New Roman" w:hAnsi="Times New Roman"/>
                <w:sz w:val="20"/>
                <w:szCs w:val="20"/>
              </w:rPr>
              <w:fldChar w:fldCharType="end"/>
            </w:r>
            <w:bookmarkEnd w:id="3"/>
          </w:p>
        </w:tc>
      </w:tr>
    </w:tbl>
    <w:p w:rsidR="008C367A" w:rsidRPr="008C367A" w:rsidRDefault="008C367A">
      <w:pPr>
        <w:pStyle w:val="Heading3"/>
        <w:rPr>
          <w:rFonts w:ascii="Times New Roman" w:hAnsi="Times New Roman"/>
          <w:sz w:val="16"/>
          <w:szCs w:val="16"/>
        </w:rPr>
      </w:pPr>
    </w:p>
    <w:p w:rsidR="00750076" w:rsidRPr="00906982" w:rsidRDefault="00750076">
      <w:pPr>
        <w:pStyle w:val="Heading3"/>
        <w:rPr>
          <w:rFonts w:ascii="Times New Roman" w:hAnsi="Times New Roman"/>
          <w:szCs w:val="22"/>
        </w:rPr>
      </w:pPr>
      <w:r w:rsidRPr="00906982">
        <w:rPr>
          <w:rFonts w:ascii="Times New Roman" w:hAnsi="Times New Roman"/>
          <w:szCs w:val="22"/>
        </w:rPr>
        <w:t>General</w:t>
      </w:r>
    </w:p>
    <w:p w:rsidR="00750076" w:rsidRPr="00906982" w:rsidRDefault="00750076">
      <w:pPr>
        <w:rPr>
          <w:sz w:val="22"/>
          <w:szCs w:val="22"/>
        </w:rPr>
      </w:pPr>
      <w:r w:rsidRPr="00906982">
        <w:rPr>
          <w:sz w:val="22"/>
          <w:szCs w:val="22"/>
        </w:rPr>
        <w:t>Conflict of Interest</w:t>
      </w:r>
    </w:p>
    <w:p w:rsidR="00750076" w:rsidRPr="00906982" w:rsidRDefault="00750076">
      <w:pPr>
        <w:rPr>
          <w:sz w:val="22"/>
          <w:szCs w:val="22"/>
        </w:rPr>
      </w:pPr>
      <w:r w:rsidRPr="00906982">
        <w:rPr>
          <w:sz w:val="22"/>
          <w:szCs w:val="22"/>
        </w:rPr>
        <w:t>Reimbursement of DOC Improper Expenditures</w:t>
      </w:r>
    </w:p>
    <w:p w:rsidR="00750076" w:rsidRPr="00906982" w:rsidRDefault="00750076">
      <w:pPr>
        <w:rPr>
          <w:sz w:val="22"/>
          <w:szCs w:val="22"/>
        </w:rPr>
      </w:pPr>
      <w:r w:rsidRPr="00906982">
        <w:rPr>
          <w:sz w:val="22"/>
          <w:szCs w:val="22"/>
        </w:rPr>
        <w:t>Access to Records</w:t>
      </w:r>
    </w:p>
    <w:p w:rsidR="00750076" w:rsidRPr="00906982" w:rsidRDefault="00750076">
      <w:pPr>
        <w:rPr>
          <w:sz w:val="22"/>
          <w:szCs w:val="22"/>
        </w:rPr>
      </w:pPr>
      <w:r w:rsidRPr="00906982">
        <w:rPr>
          <w:sz w:val="22"/>
          <w:szCs w:val="22"/>
        </w:rPr>
        <w:t>Project Savings</w:t>
      </w:r>
    </w:p>
    <w:p w:rsidR="00750076" w:rsidRPr="00906982" w:rsidRDefault="00750076">
      <w:pPr>
        <w:rPr>
          <w:sz w:val="22"/>
          <w:szCs w:val="22"/>
        </w:rPr>
      </w:pPr>
      <w:r w:rsidRPr="00906982">
        <w:rPr>
          <w:sz w:val="22"/>
          <w:szCs w:val="22"/>
        </w:rPr>
        <w:t>Expenditures of Non-CDBG funds – Concurrently with local funds</w:t>
      </w:r>
    </w:p>
    <w:p w:rsidR="00750076" w:rsidRPr="00906982" w:rsidRDefault="00750076">
      <w:pPr>
        <w:rPr>
          <w:sz w:val="22"/>
          <w:szCs w:val="22"/>
        </w:rPr>
      </w:pPr>
      <w:r w:rsidRPr="00906982">
        <w:rPr>
          <w:sz w:val="22"/>
          <w:szCs w:val="22"/>
        </w:rPr>
        <w:t>Method of Payment</w:t>
      </w:r>
      <w:r w:rsidR="00B60611">
        <w:rPr>
          <w:sz w:val="22"/>
          <w:szCs w:val="22"/>
        </w:rPr>
        <w:tab/>
        <w:t>_____________________</w:t>
      </w:r>
    </w:p>
    <w:p w:rsidR="00750076" w:rsidRPr="00906982" w:rsidRDefault="00750076">
      <w:pPr>
        <w:rPr>
          <w:sz w:val="22"/>
          <w:szCs w:val="22"/>
        </w:rPr>
      </w:pPr>
      <w:r w:rsidRPr="00906982">
        <w:rPr>
          <w:sz w:val="22"/>
          <w:szCs w:val="22"/>
        </w:rPr>
        <w:t>Obligations of recipient With Regards to Vacant Units</w:t>
      </w:r>
    </w:p>
    <w:p w:rsidR="009671F0" w:rsidRDefault="009671F0" w:rsidP="009671F0">
      <w:pPr>
        <w:rPr>
          <w:rFonts w:ascii="Franklin Gothic Book" w:hAnsi="Franklin Gothic Book"/>
          <w:sz w:val="20"/>
          <w:szCs w:val="20"/>
        </w:rPr>
      </w:pPr>
    </w:p>
    <w:p w:rsidR="000E3214" w:rsidRDefault="000E3214" w:rsidP="000E3214">
      <w:pPr>
        <w:rPr>
          <w:sz w:val="16"/>
          <w:szCs w:val="16"/>
        </w:rPr>
      </w:pPr>
    </w:p>
    <w:p w:rsidR="001B7508" w:rsidRDefault="001B7508" w:rsidP="000E3214">
      <w:pPr>
        <w:rPr>
          <w:sz w:val="16"/>
          <w:szCs w:val="16"/>
        </w:rPr>
      </w:pPr>
    </w:p>
    <w:p w:rsidR="001B7508" w:rsidRPr="000E3214" w:rsidRDefault="001B7508" w:rsidP="000E3214">
      <w:pPr>
        <w:rPr>
          <w:sz w:val="16"/>
          <w:szCs w:val="16"/>
        </w:rPr>
      </w:pPr>
    </w:p>
    <w:p w:rsidR="000E3214" w:rsidRPr="000E3214" w:rsidRDefault="000E3214" w:rsidP="000E3214">
      <w:pPr>
        <w:rPr>
          <w:sz w:val="20"/>
          <w:szCs w:val="20"/>
        </w:rPr>
      </w:pPr>
      <w:r w:rsidRPr="000E3214">
        <w:rPr>
          <w:sz w:val="20"/>
          <w:szCs w:val="20"/>
        </w:rPr>
        <w:lastRenderedPageBreak/>
        <w:t>______________________________</w:t>
      </w:r>
      <w:r w:rsidRPr="000E3214">
        <w:rPr>
          <w:sz w:val="20"/>
          <w:szCs w:val="20"/>
        </w:rPr>
        <w:tab/>
        <w:t>______________</w:t>
      </w:r>
      <w:r w:rsidRPr="000E3214">
        <w:rPr>
          <w:sz w:val="20"/>
          <w:szCs w:val="20"/>
        </w:rPr>
        <w:tab/>
        <w:t xml:space="preserve">              _____________________________ </w:t>
      </w:r>
    </w:p>
    <w:p w:rsidR="00FC035A" w:rsidRPr="001B7508" w:rsidRDefault="000E3214" w:rsidP="00FC035A">
      <w:pPr>
        <w:rPr>
          <w:sz w:val="20"/>
          <w:szCs w:val="20"/>
        </w:rPr>
      </w:pPr>
      <w:r w:rsidRPr="000E3214">
        <w:rPr>
          <w:sz w:val="20"/>
          <w:szCs w:val="20"/>
        </w:rPr>
        <w:t>CDBG Representative</w:t>
      </w:r>
      <w:r w:rsidR="00F70356">
        <w:rPr>
          <w:sz w:val="20"/>
          <w:szCs w:val="20"/>
        </w:rPr>
        <w:t xml:space="preserve"> </w:t>
      </w:r>
      <w:r w:rsidRPr="000E3214">
        <w:rPr>
          <w:sz w:val="20"/>
          <w:szCs w:val="20"/>
        </w:rPr>
        <w:tab/>
      </w:r>
      <w:r w:rsidRPr="000E3214">
        <w:rPr>
          <w:sz w:val="20"/>
          <w:szCs w:val="20"/>
        </w:rPr>
        <w:tab/>
        <w:t xml:space="preserve">         </w:t>
      </w:r>
      <w:r w:rsidRPr="000E3214">
        <w:rPr>
          <w:sz w:val="20"/>
          <w:szCs w:val="20"/>
        </w:rPr>
        <w:tab/>
        <w:t>Date</w:t>
      </w:r>
      <w:r w:rsidRPr="000E3214">
        <w:rPr>
          <w:sz w:val="20"/>
          <w:szCs w:val="20"/>
        </w:rPr>
        <w:tab/>
      </w:r>
      <w:r w:rsidRPr="000E3214">
        <w:rPr>
          <w:sz w:val="20"/>
          <w:szCs w:val="20"/>
        </w:rPr>
        <w:tab/>
      </w:r>
      <w:r w:rsidRPr="000E3214">
        <w:rPr>
          <w:sz w:val="20"/>
          <w:szCs w:val="20"/>
        </w:rPr>
        <w:tab/>
        <w:t>Grantee Representative</w:t>
      </w:r>
    </w:p>
    <w:p w:rsidR="00750076" w:rsidRPr="006107E6" w:rsidRDefault="00750076">
      <w:pPr>
        <w:pStyle w:val="Heading3"/>
        <w:rPr>
          <w:rFonts w:ascii="Times New Roman" w:hAnsi="Times New Roman"/>
          <w:szCs w:val="22"/>
        </w:rPr>
      </w:pPr>
      <w:r w:rsidRPr="00906982">
        <w:rPr>
          <w:rFonts w:ascii="Times New Roman" w:hAnsi="Times New Roman"/>
          <w:szCs w:val="22"/>
        </w:rPr>
        <w:t>Extensions</w:t>
      </w:r>
      <w:r w:rsidR="00D70AA6">
        <w:rPr>
          <w:rFonts w:ascii="Times New Roman" w:hAnsi="Times New Roman"/>
          <w:szCs w:val="22"/>
        </w:rPr>
        <w:t xml:space="preserve"> </w:t>
      </w:r>
      <w:r w:rsidR="00D70AA6" w:rsidRPr="00D70AA6">
        <w:rPr>
          <w:rFonts w:ascii="Times New Roman" w:hAnsi="Times New Roman"/>
          <w:b w:val="0"/>
          <w:i/>
          <w:sz w:val="18"/>
          <w:szCs w:val="18"/>
        </w:rPr>
        <w:t>(refer to Bulletin 10-1</w:t>
      </w:r>
      <w:proofErr w:type="gramStart"/>
      <w:r w:rsidR="00D70AA6" w:rsidRPr="00D70AA6">
        <w:rPr>
          <w:rFonts w:ascii="Times New Roman" w:hAnsi="Times New Roman"/>
          <w:b w:val="0"/>
          <w:i/>
          <w:sz w:val="18"/>
          <w:szCs w:val="18"/>
        </w:rPr>
        <w:t>)</w:t>
      </w:r>
      <w:r w:rsidR="006107E6">
        <w:rPr>
          <w:rFonts w:ascii="Times New Roman" w:hAnsi="Times New Roman"/>
          <w:b w:val="0"/>
          <w:i/>
          <w:sz w:val="18"/>
          <w:szCs w:val="18"/>
        </w:rPr>
        <w:t xml:space="preserve">  </w:t>
      </w:r>
      <w:r w:rsidR="006107E6" w:rsidRPr="006107E6">
        <w:rPr>
          <w:rFonts w:ascii="Times New Roman" w:hAnsi="Times New Roman"/>
          <w:i/>
          <w:szCs w:val="22"/>
        </w:rPr>
        <w:t>_</w:t>
      </w:r>
      <w:proofErr w:type="gramEnd"/>
      <w:r w:rsidR="006107E6" w:rsidRPr="006107E6">
        <w:rPr>
          <w:rFonts w:ascii="Times New Roman" w:hAnsi="Times New Roman"/>
          <w:i/>
          <w:szCs w:val="22"/>
        </w:rPr>
        <w:t>_________Initial</w:t>
      </w:r>
    </w:p>
    <w:p w:rsidR="00831A17" w:rsidRPr="00831A17" w:rsidRDefault="00831A17" w:rsidP="00831A17">
      <w:pPr>
        <w:rPr>
          <w:sz w:val="10"/>
          <w:szCs w:val="10"/>
        </w:rPr>
      </w:pPr>
    </w:p>
    <w:p w:rsidR="00750076" w:rsidRPr="00906982" w:rsidRDefault="00750076">
      <w:pPr>
        <w:rPr>
          <w:sz w:val="22"/>
          <w:szCs w:val="22"/>
        </w:rPr>
      </w:pPr>
      <w:r w:rsidRPr="00906982">
        <w:rPr>
          <w:sz w:val="22"/>
          <w:szCs w:val="22"/>
        </w:rPr>
        <w:t>2 ways to receive an extension:</w:t>
      </w:r>
    </w:p>
    <w:p w:rsidR="00750076" w:rsidRPr="00906982" w:rsidRDefault="00750076" w:rsidP="00606159">
      <w:pPr>
        <w:ind w:firstLine="720"/>
        <w:rPr>
          <w:sz w:val="22"/>
          <w:szCs w:val="22"/>
        </w:rPr>
      </w:pPr>
      <w:r w:rsidRPr="00906982">
        <w:rPr>
          <w:sz w:val="22"/>
          <w:szCs w:val="22"/>
        </w:rPr>
        <w:t>-Change of a grant administrator</w:t>
      </w:r>
    </w:p>
    <w:p w:rsidR="00750076" w:rsidRPr="00906982" w:rsidRDefault="00750076" w:rsidP="00606159">
      <w:pPr>
        <w:ind w:firstLine="720"/>
        <w:rPr>
          <w:sz w:val="22"/>
          <w:szCs w:val="22"/>
        </w:rPr>
      </w:pPr>
      <w:r w:rsidRPr="00906982">
        <w:rPr>
          <w:sz w:val="22"/>
          <w:szCs w:val="22"/>
        </w:rPr>
        <w:t>-Adverse weather (Hurricanes, Storms, etc.)</w:t>
      </w:r>
    </w:p>
    <w:p w:rsidR="00750076" w:rsidRPr="00906982" w:rsidRDefault="007F0896">
      <w:pPr>
        <w:rPr>
          <w:sz w:val="22"/>
          <w:szCs w:val="22"/>
        </w:rPr>
      </w:pPr>
      <w:r>
        <w:rPr>
          <w:sz w:val="22"/>
          <w:szCs w:val="22"/>
        </w:rPr>
        <w:t>E</w:t>
      </w:r>
      <w:r w:rsidRPr="00906982">
        <w:rPr>
          <w:sz w:val="22"/>
          <w:szCs w:val="22"/>
        </w:rPr>
        <w:t>xtensions</w:t>
      </w:r>
      <w:r>
        <w:rPr>
          <w:sz w:val="22"/>
          <w:szCs w:val="22"/>
        </w:rPr>
        <w:t xml:space="preserve"> will be approved on a case-by-case basis</w:t>
      </w:r>
      <w:r w:rsidR="00750076" w:rsidRPr="00906982">
        <w:rPr>
          <w:sz w:val="22"/>
          <w:szCs w:val="22"/>
        </w:rPr>
        <w:t>.</w:t>
      </w:r>
    </w:p>
    <w:p w:rsidR="00750076" w:rsidRPr="00906982" w:rsidRDefault="00750076">
      <w:pPr>
        <w:rPr>
          <w:sz w:val="22"/>
          <w:szCs w:val="22"/>
        </w:rPr>
      </w:pPr>
      <w:r w:rsidRPr="00906982">
        <w:rPr>
          <w:sz w:val="22"/>
          <w:szCs w:val="22"/>
        </w:rPr>
        <w:t>No extensions for excess funds.</w:t>
      </w:r>
    </w:p>
    <w:p w:rsidR="00750076" w:rsidRPr="00606159" w:rsidRDefault="00750076">
      <w:pPr>
        <w:rPr>
          <w:sz w:val="10"/>
          <w:szCs w:val="10"/>
        </w:rPr>
      </w:pPr>
    </w:p>
    <w:p w:rsidR="00750076" w:rsidRDefault="00750076">
      <w:pPr>
        <w:pStyle w:val="Heading3"/>
        <w:rPr>
          <w:rFonts w:ascii="Times New Roman" w:hAnsi="Times New Roman"/>
          <w:b w:val="0"/>
          <w:i/>
          <w:sz w:val="18"/>
          <w:szCs w:val="18"/>
        </w:rPr>
      </w:pPr>
      <w:r w:rsidRPr="00906982">
        <w:rPr>
          <w:rFonts w:ascii="Times New Roman" w:hAnsi="Times New Roman"/>
          <w:szCs w:val="22"/>
        </w:rPr>
        <w:t>Amendments &amp; Revisions</w:t>
      </w:r>
      <w:r w:rsidR="00AD3E8F" w:rsidRPr="00906982">
        <w:rPr>
          <w:rFonts w:ascii="Times New Roman" w:hAnsi="Times New Roman"/>
          <w:szCs w:val="22"/>
        </w:rPr>
        <w:t xml:space="preserve"> </w:t>
      </w:r>
      <w:r w:rsidR="00AD3E8F" w:rsidRPr="00F156D6">
        <w:rPr>
          <w:rFonts w:ascii="Times New Roman" w:hAnsi="Times New Roman"/>
          <w:b w:val="0"/>
          <w:i/>
          <w:sz w:val="18"/>
          <w:szCs w:val="18"/>
        </w:rPr>
        <w:t>(</w:t>
      </w:r>
      <w:r w:rsidR="00F25609" w:rsidRPr="00F156D6">
        <w:rPr>
          <w:i/>
          <w:sz w:val="18"/>
          <w:szCs w:val="18"/>
        </w:rPr>
        <w:t>refer to</w:t>
      </w:r>
      <w:r w:rsidR="00F25609">
        <w:rPr>
          <w:i/>
          <w:sz w:val="18"/>
          <w:szCs w:val="18"/>
        </w:rPr>
        <w:t xml:space="preserve"> </w:t>
      </w:r>
      <w:r w:rsidR="00AD3E8F" w:rsidRPr="00F156D6">
        <w:rPr>
          <w:rFonts w:ascii="Times New Roman" w:hAnsi="Times New Roman"/>
          <w:b w:val="0"/>
          <w:i/>
          <w:sz w:val="18"/>
          <w:szCs w:val="18"/>
        </w:rPr>
        <w:t>Bulletin</w:t>
      </w:r>
      <w:r w:rsidR="00FD3764" w:rsidRPr="00F156D6">
        <w:rPr>
          <w:rFonts w:ascii="Times New Roman" w:hAnsi="Times New Roman"/>
          <w:b w:val="0"/>
          <w:i/>
          <w:sz w:val="18"/>
          <w:szCs w:val="18"/>
        </w:rPr>
        <w:t xml:space="preserve"> 11-5</w:t>
      </w:r>
      <w:r w:rsidR="00AD3E8F" w:rsidRPr="00F156D6">
        <w:rPr>
          <w:rFonts w:ascii="Times New Roman" w:hAnsi="Times New Roman"/>
          <w:b w:val="0"/>
          <w:i/>
          <w:sz w:val="18"/>
          <w:szCs w:val="18"/>
        </w:rPr>
        <w:t>)</w:t>
      </w:r>
    </w:p>
    <w:p w:rsidR="00F156D6" w:rsidRPr="00866A2B" w:rsidRDefault="00F156D6" w:rsidP="00F156D6">
      <w:pPr>
        <w:rPr>
          <w:sz w:val="22"/>
          <w:szCs w:val="22"/>
        </w:rPr>
      </w:pPr>
    </w:p>
    <w:p w:rsidR="00750076" w:rsidRPr="00906982" w:rsidRDefault="00750076">
      <w:pPr>
        <w:rPr>
          <w:sz w:val="22"/>
          <w:szCs w:val="22"/>
        </w:rPr>
      </w:pPr>
      <w:r w:rsidRPr="00F156D6">
        <w:rPr>
          <w:b/>
          <w:sz w:val="22"/>
          <w:szCs w:val="22"/>
        </w:rPr>
        <w:t>Budget Revision:</w:t>
      </w:r>
      <w:r w:rsidRPr="00906982">
        <w:rPr>
          <w:sz w:val="22"/>
          <w:szCs w:val="22"/>
        </w:rPr>
        <w:t xml:space="preserve"> Moving funds between line items that are less than 10% of grant amount. Letter signed by CEO or designee. Grantee must wait for a letter of approval from </w:t>
      </w:r>
      <w:r w:rsidR="00C00FEE">
        <w:rPr>
          <w:sz w:val="22"/>
          <w:szCs w:val="22"/>
        </w:rPr>
        <w:t>REDD</w:t>
      </w:r>
      <w:r w:rsidRPr="00906982">
        <w:rPr>
          <w:sz w:val="22"/>
          <w:szCs w:val="22"/>
        </w:rPr>
        <w:t xml:space="preserve"> before submitting requisition.</w:t>
      </w:r>
    </w:p>
    <w:p w:rsidR="00F156D6" w:rsidRDefault="00F156D6">
      <w:pPr>
        <w:rPr>
          <w:i/>
          <w:sz w:val="22"/>
          <w:szCs w:val="22"/>
        </w:rPr>
      </w:pPr>
    </w:p>
    <w:p w:rsidR="00750076" w:rsidRDefault="00750076">
      <w:pPr>
        <w:rPr>
          <w:sz w:val="22"/>
          <w:szCs w:val="22"/>
        </w:rPr>
      </w:pPr>
      <w:r w:rsidRPr="00F156D6">
        <w:rPr>
          <w:b/>
          <w:sz w:val="22"/>
          <w:szCs w:val="22"/>
        </w:rPr>
        <w:t xml:space="preserve">Budget Amendment: </w:t>
      </w:r>
      <w:r w:rsidRPr="00906982">
        <w:rPr>
          <w:sz w:val="22"/>
          <w:szCs w:val="22"/>
        </w:rPr>
        <w:t>Moving funds between line items 10% or more of grant amount, creating a new activity, or deleting a</w:t>
      </w:r>
      <w:r w:rsidR="00030659" w:rsidRPr="00906982">
        <w:rPr>
          <w:sz w:val="22"/>
          <w:szCs w:val="22"/>
        </w:rPr>
        <w:t>n</w:t>
      </w:r>
      <w:r w:rsidRPr="00906982">
        <w:rPr>
          <w:sz w:val="22"/>
          <w:szCs w:val="22"/>
        </w:rPr>
        <w:t xml:space="preserve"> activity. Request cover letter, budget form, newspaper ad, affidavit of publication, certified minutes of public hearing and applicable Accomplishments and Beneficiaries forms if changing the number of units </w:t>
      </w:r>
      <w:r w:rsidR="00186883" w:rsidRPr="00906982">
        <w:rPr>
          <w:sz w:val="22"/>
          <w:szCs w:val="22"/>
        </w:rPr>
        <w:t>treated.</w:t>
      </w:r>
      <w:r w:rsidRPr="00906982">
        <w:rPr>
          <w:sz w:val="22"/>
          <w:szCs w:val="22"/>
        </w:rPr>
        <w:t xml:space="preserve"> Grantee must wait for a letter of approval from </w:t>
      </w:r>
      <w:r w:rsidR="00C00FEE">
        <w:rPr>
          <w:sz w:val="22"/>
          <w:szCs w:val="22"/>
        </w:rPr>
        <w:t>REDD</w:t>
      </w:r>
      <w:r w:rsidRPr="00906982">
        <w:rPr>
          <w:sz w:val="22"/>
          <w:szCs w:val="22"/>
        </w:rPr>
        <w:t xml:space="preserve"> before submitting requisition. When changing housing activities, the environmental review must be updated. Identify units 50 years old or older or ones that could be in a historic district and send the information to Historic Preservation for review. After Historic Preservation comments are returned to the grantee, the environmental review with the comments included must be submitted to the </w:t>
      </w:r>
      <w:r w:rsidR="00C00FEE">
        <w:rPr>
          <w:sz w:val="22"/>
          <w:szCs w:val="22"/>
        </w:rPr>
        <w:t>REDD</w:t>
      </w:r>
      <w:r w:rsidRPr="00906982">
        <w:rPr>
          <w:sz w:val="22"/>
          <w:szCs w:val="22"/>
        </w:rPr>
        <w:t xml:space="preserve"> Compliance Specialist.</w:t>
      </w:r>
    </w:p>
    <w:p w:rsidR="00F156D6" w:rsidRDefault="00F156D6">
      <w:pPr>
        <w:rPr>
          <w:sz w:val="22"/>
          <w:szCs w:val="22"/>
        </w:rPr>
      </w:pPr>
    </w:p>
    <w:p w:rsidR="00F156D6" w:rsidRPr="00906982" w:rsidRDefault="00F156D6" w:rsidP="00F156D6">
      <w:pPr>
        <w:rPr>
          <w:sz w:val="22"/>
          <w:szCs w:val="22"/>
        </w:rPr>
      </w:pPr>
      <w:r w:rsidRPr="00906982">
        <w:rPr>
          <w:b/>
          <w:sz w:val="22"/>
          <w:szCs w:val="22"/>
        </w:rPr>
        <w:t>Adding/Changing Applicants to Participant Lists</w:t>
      </w:r>
      <w:r w:rsidRPr="00906982">
        <w:rPr>
          <w:sz w:val="22"/>
          <w:szCs w:val="22"/>
        </w:rPr>
        <w:t xml:space="preserve">: When adding applicants not identified in the application, the application must be </w:t>
      </w:r>
      <w:r w:rsidR="00186883" w:rsidRPr="00906982">
        <w:rPr>
          <w:sz w:val="22"/>
          <w:szCs w:val="22"/>
        </w:rPr>
        <w:t>amended,</w:t>
      </w:r>
      <w:r w:rsidRPr="00906982">
        <w:rPr>
          <w:sz w:val="22"/>
          <w:szCs w:val="22"/>
        </w:rPr>
        <w:t xml:space="preserve"> and any amendment requires a Public Hearing. Additionally, when adding units not previously identified in to the application, the environmental review must be updated and housing units 50 years old or older or ones that may be in a Historic district must have the property information sent to Historic Preservation for review. The Housing Selection Committee minutes should reflect all beneficiary actions. The Compliance Section (919-</w:t>
      </w:r>
      <w:r w:rsidR="00C00FEE">
        <w:rPr>
          <w:sz w:val="22"/>
          <w:szCs w:val="22"/>
        </w:rPr>
        <w:t>814</w:t>
      </w:r>
      <w:r w:rsidRPr="00906982">
        <w:rPr>
          <w:sz w:val="22"/>
          <w:szCs w:val="22"/>
        </w:rPr>
        <w:t>-4</w:t>
      </w:r>
      <w:r w:rsidR="00C00FEE">
        <w:rPr>
          <w:sz w:val="22"/>
          <w:szCs w:val="22"/>
        </w:rPr>
        <w:t>679</w:t>
      </w:r>
      <w:r w:rsidRPr="00906982">
        <w:rPr>
          <w:sz w:val="22"/>
          <w:szCs w:val="22"/>
        </w:rPr>
        <w:t xml:space="preserve"> and email </w:t>
      </w:r>
      <w:hyperlink r:id="rId7" w:history="1">
        <w:r w:rsidRPr="00906982">
          <w:rPr>
            <w:rStyle w:val="Hyperlink"/>
            <w:sz w:val="22"/>
            <w:szCs w:val="22"/>
          </w:rPr>
          <w:t>compliance@nccommerce.com</w:t>
        </w:r>
      </w:hyperlink>
      <w:r w:rsidRPr="00906982">
        <w:rPr>
          <w:sz w:val="22"/>
          <w:szCs w:val="22"/>
        </w:rPr>
        <w:t>) can provide additional environmental and Historic guidance.</w:t>
      </w:r>
    </w:p>
    <w:p w:rsidR="00F156D6" w:rsidRPr="001E3893" w:rsidRDefault="00F156D6" w:rsidP="00F156D6">
      <w:pPr>
        <w:rPr>
          <w:sz w:val="16"/>
          <w:szCs w:val="16"/>
        </w:rPr>
      </w:pPr>
    </w:p>
    <w:p w:rsidR="00F156D6" w:rsidRPr="00906982" w:rsidRDefault="00F156D6" w:rsidP="00F156D6">
      <w:pPr>
        <w:rPr>
          <w:color w:val="1F497D"/>
          <w:sz w:val="22"/>
          <w:szCs w:val="22"/>
        </w:rPr>
      </w:pPr>
      <w:r>
        <w:rPr>
          <w:b/>
          <w:sz w:val="22"/>
          <w:szCs w:val="22"/>
        </w:rPr>
        <w:t>Deleting Applicants or Moving b</w:t>
      </w:r>
      <w:r w:rsidRPr="00906982">
        <w:rPr>
          <w:b/>
          <w:sz w:val="22"/>
          <w:szCs w:val="22"/>
        </w:rPr>
        <w:t>etween C-1 &amp; L-1 Projects</w:t>
      </w:r>
      <w:r w:rsidRPr="00906982">
        <w:rPr>
          <w:sz w:val="22"/>
          <w:szCs w:val="22"/>
        </w:rPr>
        <w:t>: Mindful of ranking; action must be reflected in Selection Committee Minutes; L-1 must be capable of rehabilitating.</w:t>
      </w:r>
    </w:p>
    <w:p w:rsidR="00750076" w:rsidRPr="00866A2B" w:rsidRDefault="00750076">
      <w:pPr>
        <w:rPr>
          <w:sz w:val="22"/>
          <w:szCs w:val="22"/>
        </w:rPr>
      </w:pPr>
    </w:p>
    <w:p w:rsidR="00F9724A" w:rsidRDefault="00750076">
      <w:pPr>
        <w:rPr>
          <w:b/>
          <w:bCs/>
          <w:sz w:val="22"/>
          <w:szCs w:val="22"/>
        </w:rPr>
      </w:pPr>
      <w:r w:rsidRPr="00906982">
        <w:rPr>
          <w:b/>
          <w:bCs/>
          <w:sz w:val="22"/>
          <w:szCs w:val="22"/>
        </w:rPr>
        <w:t xml:space="preserve">Compliance </w:t>
      </w:r>
    </w:p>
    <w:p w:rsidR="00750076" w:rsidRPr="00906982" w:rsidRDefault="00750076">
      <w:pPr>
        <w:rPr>
          <w:sz w:val="22"/>
          <w:szCs w:val="22"/>
        </w:rPr>
      </w:pPr>
      <w:r w:rsidRPr="00906982">
        <w:rPr>
          <w:b/>
          <w:bCs/>
          <w:sz w:val="22"/>
          <w:szCs w:val="22"/>
        </w:rPr>
        <w:t>Contact</w:t>
      </w:r>
      <w:r w:rsidR="00F9724A">
        <w:rPr>
          <w:b/>
          <w:bCs/>
          <w:sz w:val="22"/>
          <w:szCs w:val="22"/>
        </w:rPr>
        <w:t>:</w:t>
      </w:r>
      <w:r w:rsidRPr="00906982">
        <w:rPr>
          <w:b/>
          <w:bCs/>
          <w:sz w:val="22"/>
          <w:szCs w:val="22"/>
        </w:rPr>
        <w:t xml:space="preserve"> </w:t>
      </w:r>
      <w:hyperlink r:id="rId8" w:history="1">
        <w:r w:rsidR="00F9724A" w:rsidRPr="0068769A">
          <w:rPr>
            <w:rStyle w:val="Hyperlink"/>
            <w:sz w:val="22"/>
            <w:szCs w:val="22"/>
          </w:rPr>
          <w:t>compliance@nccommerce.com</w:t>
        </w:r>
      </w:hyperlink>
      <w:r w:rsidR="00F9724A">
        <w:rPr>
          <w:sz w:val="22"/>
          <w:szCs w:val="22"/>
        </w:rPr>
        <w:t xml:space="preserve"> </w:t>
      </w:r>
    </w:p>
    <w:p w:rsidR="006A2E65" w:rsidRPr="00831A17" w:rsidRDefault="006A2E65">
      <w:pPr>
        <w:rPr>
          <w:sz w:val="10"/>
          <w:szCs w:val="10"/>
        </w:rPr>
      </w:pPr>
    </w:p>
    <w:p w:rsidR="006A2E65" w:rsidRPr="00906982" w:rsidRDefault="00A24885">
      <w:pPr>
        <w:rPr>
          <w:sz w:val="22"/>
          <w:szCs w:val="22"/>
        </w:rPr>
      </w:pPr>
      <w:r w:rsidRPr="00906982">
        <w:rPr>
          <w:sz w:val="22"/>
          <w:szCs w:val="22"/>
        </w:rPr>
        <w:t xml:space="preserve">Compliance documents should be double-sided &amp; clipped or stapled – not bound. Please </w:t>
      </w:r>
      <w:r w:rsidR="00186883">
        <w:rPr>
          <w:sz w:val="22"/>
          <w:szCs w:val="22"/>
        </w:rPr>
        <w:t xml:space="preserve">contact the REDD Compliance Staff </w:t>
      </w:r>
      <w:r w:rsidR="006A2E65" w:rsidRPr="00906982">
        <w:rPr>
          <w:sz w:val="22"/>
          <w:szCs w:val="22"/>
        </w:rPr>
        <w:t>to ensure you have the latest version</w:t>
      </w:r>
      <w:r w:rsidR="00186883">
        <w:rPr>
          <w:sz w:val="22"/>
          <w:szCs w:val="22"/>
        </w:rPr>
        <w:t xml:space="preserve"> at (919) 814-4679 or via email at </w:t>
      </w:r>
      <w:hyperlink r:id="rId9" w:history="1">
        <w:r w:rsidR="00186883" w:rsidRPr="000325D1">
          <w:rPr>
            <w:rStyle w:val="Hyperlink"/>
            <w:sz w:val="22"/>
            <w:szCs w:val="22"/>
          </w:rPr>
          <w:t>compliance@nccommerce.com</w:t>
        </w:r>
      </w:hyperlink>
      <w:r w:rsidR="006A2E65" w:rsidRPr="00906982">
        <w:rPr>
          <w:sz w:val="22"/>
          <w:szCs w:val="22"/>
        </w:rPr>
        <w:t>.</w:t>
      </w:r>
      <w:r w:rsidR="00186883">
        <w:rPr>
          <w:sz w:val="22"/>
          <w:szCs w:val="22"/>
        </w:rPr>
        <w:t xml:space="preserve"> </w:t>
      </w:r>
    </w:p>
    <w:p w:rsidR="00750076" w:rsidRPr="00906982" w:rsidRDefault="00750076">
      <w:pPr>
        <w:rPr>
          <w:iCs/>
          <w:sz w:val="22"/>
          <w:szCs w:val="22"/>
        </w:rPr>
      </w:pPr>
      <w:r w:rsidRPr="00906982">
        <w:rPr>
          <w:sz w:val="22"/>
          <w:szCs w:val="22"/>
        </w:rPr>
        <w:t xml:space="preserve">Due within 120 days from GA/FA signed by </w:t>
      </w:r>
      <w:r w:rsidR="00C00FEE">
        <w:rPr>
          <w:sz w:val="22"/>
          <w:szCs w:val="22"/>
        </w:rPr>
        <w:t>REDD</w:t>
      </w:r>
      <w:r w:rsidRPr="00906982">
        <w:rPr>
          <w:sz w:val="22"/>
          <w:szCs w:val="22"/>
        </w:rPr>
        <w:t xml:space="preserve"> – </w:t>
      </w:r>
      <w:r w:rsidRPr="00906982">
        <w:rPr>
          <w:i/>
          <w:sz w:val="22"/>
          <w:szCs w:val="22"/>
        </w:rPr>
        <w:t xml:space="preserve">NLT Dates in </w:t>
      </w:r>
      <w:r w:rsidRPr="006A3FE3">
        <w:rPr>
          <w:bCs/>
          <w:i/>
          <w:sz w:val="22"/>
          <w:szCs w:val="22"/>
        </w:rPr>
        <w:t>para</w:t>
      </w:r>
      <w:r w:rsidR="006A3FE3">
        <w:rPr>
          <w:bCs/>
          <w:i/>
          <w:sz w:val="22"/>
          <w:szCs w:val="22"/>
        </w:rPr>
        <w:t>graph</w:t>
      </w:r>
      <w:r w:rsidRPr="006A3FE3">
        <w:rPr>
          <w:bCs/>
          <w:i/>
          <w:sz w:val="22"/>
          <w:szCs w:val="22"/>
        </w:rPr>
        <w:t xml:space="preserve"> </w:t>
      </w:r>
      <w:r w:rsidR="001B7508">
        <w:rPr>
          <w:bCs/>
          <w:i/>
          <w:sz w:val="22"/>
          <w:szCs w:val="22"/>
        </w:rPr>
        <w:t xml:space="preserve">29 </w:t>
      </w:r>
      <w:r w:rsidRPr="006A3FE3">
        <w:rPr>
          <w:bCs/>
          <w:i/>
          <w:sz w:val="22"/>
          <w:szCs w:val="22"/>
        </w:rPr>
        <w:t>of GA</w:t>
      </w:r>
      <w:r w:rsidRPr="00906982">
        <w:rPr>
          <w:iCs/>
          <w:sz w:val="22"/>
          <w:szCs w:val="22"/>
        </w:rPr>
        <w:t xml:space="preserve"> </w:t>
      </w:r>
      <w:r w:rsidRPr="00906982">
        <w:rPr>
          <w:sz w:val="22"/>
          <w:szCs w:val="22"/>
        </w:rPr>
        <w:t>Date Due:</w:t>
      </w:r>
      <w:r w:rsidRPr="00906982">
        <w:rPr>
          <w:iCs/>
          <w:sz w:val="22"/>
          <w:szCs w:val="22"/>
        </w:rPr>
        <w:t xml:space="preserve"> </w:t>
      </w:r>
    </w:p>
    <w:p w:rsidR="00750076" w:rsidRPr="00906982" w:rsidRDefault="00750076">
      <w:pPr>
        <w:rPr>
          <w:sz w:val="22"/>
          <w:szCs w:val="22"/>
        </w:rPr>
      </w:pPr>
      <w:r w:rsidRPr="00906982">
        <w:rPr>
          <w:sz w:val="22"/>
          <w:szCs w:val="22"/>
        </w:rPr>
        <w:t>Fair Housing Plan</w:t>
      </w:r>
      <w:r w:rsidR="007F0896">
        <w:rPr>
          <w:sz w:val="22"/>
          <w:szCs w:val="22"/>
        </w:rPr>
        <w:t>- Language Access Plan</w:t>
      </w:r>
      <w:r w:rsidRPr="00906982">
        <w:rPr>
          <w:sz w:val="22"/>
          <w:szCs w:val="22"/>
        </w:rPr>
        <w:t xml:space="preserve"> </w:t>
      </w:r>
      <w:r w:rsidR="00185681" w:rsidRPr="00906982">
        <w:rPr>
          <w:sz w:val="22"/>
          <w:szCs w:val="22"/>
        </w:rPr>
        <w:t xml:space="preserve">- </w:t>
      </w:r>
      <w:r w:rsidRPr="00906982">
        <w:rPr>
          <w:sz w:val="22"/>
          <w:szCs w:val="22"/>
        </w:rPr>
        <w:t>Section 3 Plan</w:t>
      </w:r>
      <w:r w:rsidR="00185681" w:rsidRPr="00906982">
        <w:rPr>
          <w:sz w:val="22"/>
          <w:szCs w:val="22"/>
        </w:rPr>
        <w:t xml:space="preserve">- </w:t>
      </w:r>
      <w:r w:rsidRPr="00906982">
        <w:rPr>
          <w:sz w:val="22"/>
          <w:szCs w:val="22"/>
        </w:rPr>
        <w:t>Equal Employment and Procurement Plan</w:t>
      </w:r>
      <w:r w:rsidR="00185681" w:rsidRPr="00906982">
        <w:rPr>
          <w:sz w:val="22"/>
          <w:szCs w:val="22"/>
        </w:rPr>
        <w:t xml:space="preserve"> - </w:t>
      </w:r>
      <w:r w:rsidR="006913CA">
        <w:rPr>
          <w:sz w:val="22"/>
          <w:szCs w:val="22"/>
        </w:rPr>
        <w:t xml:space="preserve">Section 504. Compliance Reports are due with the </w:t>
      </w:r>
      <w:r w:rsidR="006913CA" w:rsidRPr="006913CA">
        <w:rPr>
          <w:i/>
          <w:sz w:val="22"/>
          <w:szCs w:val="22"/>
        </w:rPr>
        <w:t>Annual Performance Report</w:t>
      </w:r>
      <w:r w:rsidR="006913CA">
        <w:rPr>
          <w:sz w:val="22"/>
          <w:szCs w:val="22"/>
        </w:rPr>
        <w:t xml:space="preserve">. </w:t>
      </w:r>
    </w:p>
    <w:p w:rsidR="00750076" w:rsidRPr="00606159" w:rsidRDefault="00750076">
      <w:pPr>
        <w:rPr>
          <w:sz w:val="10"/>
          <w:szCs w:val="10"/>
        </w:rPr>
      </w:pPr>
    </w:p>
    <w:p w:rsidR="00750076" w:rsidRPr="00906982" w:rsidRDefault="00B260F7">
      <w:pPr>
        <w:rPr>
          <w:sz w:val="22"/>
          <w:szCs w:val="22"/>
        </w:rPr>
      </w:pPr>
      <w:r w:rsidRPr="00906982">
        <w:rPr>
          <w:sz w:val="22"/>
          <w:szCs w:val="22"/>
        </w:rPr>
        <w:t>Due within 1</w:t>
      </w:r>
      <w:r w:rsidR="007F0896">
        <w:rPr>
          <w:sz w:val="22"/>
          <w:szCs w:val="22"/>
        </w:rPr>
        <w:t>20</w:t>
      </w:r>
      <w:r w:rsidR="00750076" w:rsidRPr="00906982">
        <w:rPr>
          <w:sz w:val="22"/>
          <w:szCs w:val="22"/>
        </w:rPr>
        <w:t xml:space="preserve"> days from GA/FA signed by </w:t>
      </w:r>
      <w:r w:rsidR="00C00FEE">
        <w:rPr>
          <w:sz w:val="22"/>
          <w:szCs w:val="22"/>
        </w:rPr>
        <w:t>REDD</w:t>
      </w:r>
      <w:r w:rsidR="00750076" w:rsidRPr="00906982">
        <w:rPr>
          <w:sz w:val="22"/>
          <w:szCs w:val="22"/>
        </w:rPr>
        <w:t xml:space="preserve"> – </w:t>
      </w:r>
      <w:r w:rsidR="00750076" w:rsidRPr="00906982">
        <w:rPr>
          <w:i/>
          <w:sz w:val="22"/>
          <w:szCs w:val="22"/>
        </w:rPr>
        <w:t xml:space="preserve">NLT Dates in </w:t>
      </w:r>
      <w:r w:rsidR="00750076" w:rsidRPr="006A3FE3">
        <w:rPr>
          <w:bCs/>
          <w:i/>
          <w:sz w:val="22"/>
          <w:szCs w:val="22"/>
        </w:rPr>
        <w:t>para</w:t>
      </w:r>
      <w:r w:rsidR="006A3FE3">
        <w:rPr>
          <w:bCs/>
          <w:i/>
          <w:sz w:val="22"/>
          <w:szCs w:val="22"/>
        </w:rPr>
        <w:t>graph</w:t>
      </w:r>
      <w:r w:rsidR="00750076" w:rsidRPr="006A3FE3">
        <w:rPr>
          <w:bCs/>
          <w:i/>
          <w:sz w:val="22"/>
          <w:szCs w:val="22"/>
        </w:rPr>
        <w:t xml:space="preserve"> </w:t>
      </w:r>
      <w:r w:rsidR="001B7508">
        <w:rPr>
          <w:bCs/>
          <w:i/>
          <w:sz w:val="22"/>
          <w:szCs w:val="22"/>
        </w:rPr>
        <w:t>29</w:t>
      </w:r>
      <w:r w:rsidR="00750076" w:rsidRPr="00906982">
        <w:rPr>
          <w:i/>
          <w:sz w:val="22"/>
          <w:szCs w:val="22"/>
        </w:rPr>
        <w:t xml:space="preserve"> of GA</w:t>
      </w:r>
      <w:r w:rsidR="00750076" w:rsidRPr="00906982">
        <w:rPr>
          <w:iCs/>
          <w:sz w:val="22"/>
          <w:szCs w:val="22"/>
        </w:rPr>
        <w:t xml:space="preserve"> </w:t>
      </w:r>
      <w:r w:rsidR="00750076" w:rsidRPr="00906982">
        <w:rPr>
          <w:sz w:val="22"/>
          <w:szCs w:val="22"/>
        </w:rPr>
        <w:t>Date Due:</w:t>
      </w:r>
      <w:r w:rsidR="00186883">
        <w:rPr>
          <w:sz w:val="22"/>
          <w:szCs w:val="22"/>
        </w:rPr>
        <w:t xml:space="preserve"> </w:t>
      </w:r>
      <w:r w:rsidR="00750076" w:rsidRPr="00906982">
        <w:rPr>
          <w:sz w:val="22"/>
          <w:szCs w:val="22"/>
        </w:rPr>
        <w:t xml:space="preserve">Analysis of Impediments to Fair Housing </w:t>
      </w:r>
      <w:r w:rsidR="007F0896">
        <w:rPr>
          <w:sz w:val="22"/>
          <w:szCs w:val="22"/>
        </w:rPr>
        <w:t>Choice Study</w:t>
      </w:r>
    </w:p>
    <w:p w:rsidR="00750076" w:rsidRPr="00906982" w:rsidRDefault="00750076" w:rsidP="003D235F">
      <w:pPr>
        <w:ind w:firstLine="720"/>
        <w:rPr>
          <w:sz w:val="22"/>
          <w:szCs w:val="22"/>
        </w:rPr>
      </w:pPr>
      <w:r w:rsidRPr="00906982">
        <w:rPr>
          <w:sz w:val="22"/>
          <w:szCs w:val="22"/>
        </w:rPr>
        <w:t>-due if the grantee has a population of 10,000 or more people.</w:t>
      </w:r>
    </w:p>
    <w:p w:rsidR="00750076" w:rsidRPr="00906982" w:rsidRDefault="00750076" w:rsidP="003D235F">
      <w:pPr>
        <w:ind w:firstLine="720"/>
        <w:rPr>
          <w:sz w:val="22"/>
          <w:szCs w:val="22"/>
        </w:rPr>
      </w:pPr>
      <w:r w:rsidRPr="00906982">
        <w:rPr>
          <w:sz w:val="22"/>
          <w:szCs w:val="22"/>
        </w:rPr>
        <w:t>-can be carried over from grant to grant.</w:t>
      </w:r>
    </w:p>
    <w:p w:rsidR="00F25609" w:rsidRPr="00A73DC6" w:rsidRDefault="00750076" w:rsidP="00A73DC6">
      <w:pPr>
        <w:ind w:firstLine="720"/>
        <w:rPr>
          <w:sz w:val="10"/>
          <w:szCs w:val="10"/>
        </w:rPr>
      </w:pPr>
      <w:r w:rsidRPr="00906982">
        <w:rPr>
          <w:sz w:val="22"/>
          <w:szCs w:val="22"/>
        </w:rPr>
        <w:t xml:space="preserve">-good for 5 years. </w:t>
      </w:r>
    </w:p>
    <w:p w:rsidR="00F25609" w:rsidRPr="000E3214" w:rsidRDefault="00F25609" w:rsidP="00F25609">
      <w:pPr>
        <w:rPr>
          <w:sz w:val="16"/>
          <w:szCs w:val="16"/>
        </w:rPr>
      </w:pPr>
    </w:p>
    <w:p w:rsidR="001B7508" w:rsidRDefault="001B7508" w:rsidP="00F25609">
      <w:pPr>
        <w:rPr>
          <w:sz w:val="20"/>
          <w:szCs w:val="20"/>
        </w:rPr>
      </w:pPr>
    </w:p>
    <w:p w:rsidR="001B7508" w:rsidRDefault="001B7508" w:rsidP="00F25609">
      <w:pPr>
        <w:rPr>
          <w:sz w:val="20"/>
          <w:szCs w:val="20"/>
        </w:rPr>
      </w:pPr>
    </w:p>
    <w:p w:rsidR="00F25609" w:rsidRPr="000E3214" w:rsidRDefault="00F25609" w:rsidP="00F25609">
      <w:pPr>
        <w:rPr>
          <w:sz w:val="20"/>
          <w:szCs w:val="20"/>
        </w:rPr>
      </w:pPr>
      <w:r w:rsidRPr="000E3214">
        <w:rPr>
          <w:sz w:val="20"/>
          <w:szCs w:val="20"/>
        </w:rPr>
        <w:t>______________________________</w:t>
      </w:r>
      <w:r w:rsidRPr="000E3214">
        <w:rPr>
          <w:sz w:val="20"/>
          <w:szCs w:val="20"/>
        </w:rPr>
        <w:tab/>
        <w:t>______________</w:t>
      </w:r>
      <w:r w:rsidRPr="000E3214">
        <w:rPr>
          <w:sz w:val="20"/>
          <w:szCs w:val="20"/>
        </w:rPr>
        <w:tab/>
        <w:t xml:space="preserve">              _____________________________ </w:t>
      </w:r>
    </w:p>
    <w:p w:rsidR="00185681" w:rsidRPr="00FB434D" w:rsidRDefault="00F25609">
      <w:pPr>
        <w:rPr>
          <w:sz w:val="20"/>
          <w:szCs w:val="20"/>
        </w:rPr>
      </w:pPr>
      <w:r w:rsidRPr="000E3214">
        <w:rPr>
          <w:sz w:val="20"/>
          <w:szCs w:val="20"/>
        </w:rPr>
        <w:t>CDBG Representative</w:t>
      </w:r>
      <w:r w:rsidRPr="000E3214">
        <w:rPr>
          <w:sz w:val="20"/>
          <w:szCs w:val="20"/>
        </w:rPr>
        <w:tab/>
      </w:r>
      <w:r w:rsidRPr="000E3214">
        <w:rPr>
          <w:sz w:val="20"/>
          <w:szCs w:val="20"/>
        </w:rPr>
        <w:tab/>
        <w:t xml:space="preserve">         </w:t>
      </w:r>
      <w:r w:rsidRPr="000E3214">
        <w:rPr>
          <w:sz w:val="20"/>
          <w:szCs w:val="20"/>
        </w:rPr>
        <w:tab/>
        <w:t>Date</w:t>
      </w:r>
      <w:r w:rsidRPr="000E3214">
        <w:rPr>
          <w:sz w:val="20"/>
          <w:szCs w:val="20"/>
        </w:rPr>
        <w:tab/>
      </w:r>
      <w:r w:rsidRPr="000E3214">
        <w:rPr>
          <w:sz w:val="20"/>
          <w:szCs w:val="20"/>
        </w:rPr>
        <w:tab/>
      </w:r>
      <w:r w:rsidRPr="000E3214">
        <w:rPr>
          <w:sz w:val="20"/>
          <w:szCs w:val="20"/>
        </w:rPr>
        <w:tab/>
        <w:t>Grantee Representative</w:t>
      </w:r>
    </w:p>
    <w:p w:rsidR="00FC0D16" w:rsidRDefault="00750076">
      <w:pPr>
        <w:rPr>
          <w:sz w:val="22"/>
          <w:szCs w:val="22"/>
        </w:rPr>
      </w:pPr>
      <w:r w:rsidRPr="00906982">
        <w:rPr>
          <w:b/>
          <w:bCs/>
          <w:sz w:val="22"/>
          <w:szCs w:val="22"/>
        </w:rPr>
        <w:t xml:space="preserve">Environmental </w:t>
      </w:r>
      <w:r w:rsidR="00C872EA" w:rsidRPr="00906982">
        <w:rPr>
          <w:b/>
          <w:bCs/>
          <w:sz w:val="22"/>
          <w:szCs w:val="22"/>
        </w:rPr>
        <w:t>Review</w:t>
      </w:r>
      <w:r w:rsidR="00FC0D16">
        <w:rPr>
          <w:sz w:val="22"/>
          <w:szCs w:val="22"/>
        </w:rPr>
        <w:t>:</w:t>
      </w:r>
    </w:p>
    <w:p w:rsidR="00FC0D16" w:rsidRPr="00FC0D16" w:rsidRDefault="00FC0D16">
      <w:pPr>
        <w:rPr>
          <w:sz w:val="10"/>
          <w:szCs w:val="10"/>
        </w:rPr>
      </w:pPr>
    </w:p>
    <w:p w:rsidR="007F0896" w:rsidRDefault="00C872EA">
      <w:pPr>
        <w:rPr>
          <w:sz w:val="22"/>
          <w:szCs w:val="22"/>
        </w:rPr>
      </w:pPr>
      <w:r w:rsidRPr="00906982">
        <w:rPr>
          <w:sz w:val="22"/>
          <w:szCs w:val="22"/>
        </w:rPr>
        <w:t>Contact</w:t>
      </w:r>
      <w:r w:rsidR="00750076" w:rsidRPr="00906982">
        <w:rPr>
          <w:sz w:val="22"/>
          <w:szCs w:val="22"/>
        </w:rPr>
        <w:t xml:space="preserve">: </w:t>
      </w:r>
      <w:hyperlink r:id="rId10" w:history="1">
        <w:r w:rsidR="005F5CF4" w:rsidRPr="00906982">
          <w:rPr>
            <w:rStyle w:val="Hyperlink"/>
            <w:sz w:val="22"/>
            <w:szCs w:val="22"/>
          </w:rPr>
          <w:t>compliance@nccommerce.com</w:t>
        </w:r>
      </w:hyperlink>
      <w:r w:rsidR="005F5CF4" w:rsidRPr="00906982">
        <w:rPr>
          <w:sz w:val="22"/>
          <w:szCs w:val="22"/>
        </w:rPr>
        <w:t xml:space="preserve"> </w:t>
      </w:r>
    </w:p>
    <w:p w:rsidR="00750076" w:rsidRPr="00906982" w:rsidRDefault="00750076">
      <w:pPr>
        <w:rPr>
          <w:sz w:val="22"/>
          <w:szCs w:val="22"/>
        </w:rPr>
      </w:pPr>
      <w:r w:rsidRPr="00906982">
        <w:rPr>
          <w:sz w:val="22"/>
          <w:szCs w:val="22"/>
        </w:rPr>
        <w:t xml:space="preserve">Discuss the different </w:t>
      </w:r>
      <w:r w:rsidR="007F0896">
        <w:rPr>
          <w:sz w:val="22"/>
          <w:szCs w:val="22"/>
        </w:rPr>
        <w:t>levels of environmental review</w:t>
      </w:r>
      <w:r w:rsidRPr="00906982">
        <w:rPr>
          <w:sz w:val="22"/>
          <w:szCs w:val="22"/>
        </w:rPr>
        <w:t>:</w:t>
      </w:r>
    </w:p>
    <w:p w:rsidR="00750076" w:rsidRPr="00906982" w:rsidRDefault="00750076">
      <w:pPr>
        <w:rPr>
          <w:sz w:val="22"/>
          <w:szCs w:val="22"/>
        </w:rPr>
      </w:pPr>
      <w:r w:rsidRPr="00906982">
        <w:rPr>
          <w:sz w:val="22"/>
          <w:szCs w:val="22"/>
        </w:rPr>
        <w:t>Exempt – Capacity Building – tasks including planning (</w:t>
      </w:r>
      <w:r w:rsidR="00A24885" w:rsidRPr="00906982">
        <w:rPr>
          <w:sz w:val="22"/>
          <w:szCs w:val="22"/>
        </w:rPr>
        <w:t xml:space="preserve">1 signed </w:t>
      </w:r>
      <w:r w:rsidR="007F0896">
        <w:rPr>
          <w:sz w:val="22"/>
          <w:szCs w:val="22"/>
        </w:rPr>
        <w:t>and dated copy to</w:t>
      </w:r>
      <w:r w:rsidRPr="00906982">
        <w:rPr>
          <w:sz w:val="22"/>
          <w:szCs w:val="22"/>
        </w:rPr>
        <w:t xml:space="preserve"> </w:t>
      </w:r>
      <w:r w:rsidR="00C00FEE">
        <w:rPr>
          <w:sz w:val="22"/>
          <w:szCs w:val="22"/>
        </w:rPr>
        <w:t>REDD</w:t>
      </w:r>
      <w:r w:rsidRPr="00906982">
        <w:rPr>
          <w:sz w:val="22"/>
          <w:szCs w:val="22"/>
        </w:rPr>
        <w:t>)</w:t>
      </w:r>
    </w:p>
    <w:p w:rsidR="00750076" w:rsidRPr="00906982" w:rsidRDefault="00750076">
      <w:pPr>
        <w:rPr>
          <w:sz w:val="22"/>
          <w:szCs w:val="22"/>
        </w:rPr>
      </w:pPr>
      <w:r w:rsidRPr="00906982">
        <w:rPr>
          <w:sz w:val="22"/>
          <w:szCs w:val="22"/>
        </w:rPr>
        <w:t xml:space="preserve">Categorically Excluded- Scattered </w:t>
      </w:r>
      <w:r w:rsidR="007F0896">
        <w:rPr>
          <w:sz w:val="22"/>
          <w:szCs w:val="22"/>
        </w:rPr>
        <w:t>S</w:t>
      </w:r>
      <w:r w:rsidRPr="00906982">
        <w:rPr>
          <w:sz w:val="22"/>
          <w:szCs w:val="22"/>
        </w:rPr>
        <w:t xml:space="preserve">ite, Infrastructure </w:t>
      </w:r>
      <w:r w:rsidR="007F0896">
        <w:rPr>
          <w:sz w:val="22"/>
          <w:szCs w:val="22"/>
        </w:rPr>
        <w:t>H</w:t>
      </w:r>
      <w:r w:rsidRPr="00906982">
        <w:rPr>
          <w:sz w:val="22"/>
          <w:szCs w:val="22"/>
        </w:rPr>
        <w:t>ook</w:t>
      </w:r>
      <w:r w:rsidR="007F0896">
        <w:rPr>
          <w:sz w:val="22"/>
          <w:szCs w:val="22"/>
        </w:rPr>
        <w:t>-U</w:t>
      </w:r>
      <w:r w:rsidRPr="00906982">
        <w:rPr>
          <w:sz w:val="22"/>
          <w:szCs w:val="22"/>
        </w:rPr>
        <w:t>p – tasks including rehabilitation or replacement lines (</w:t>
      </w:r>
      <w:r w:rsidR="00A24885" w:rsidRPr="00906982">
        <w:rPr>
          <w:sz w:val="22"/>
          <w:szCs w:val="22"/>
        </w:rPr>
        <w:t xml:space="preserve">1 signed </w:t>
      </w:r>
      <w:r w:rsidR="007F0896">
        <w:rPr>
          <w:sz w:val="22"/>
          <w:szCs w:val="22"/>
        </w:rPr>
        <w:t>and dated copy</w:t>
      </w:r>
      <w:r w:rsidRPr="00906982">
        <w:rPr>
          <w:sz w:val="22"/>
          <w:szCs w:val="22"/>
        </w:rPr>
        <w:t xml:space="preserve"> to </w:t>
      </w:r>
      <w:r w:rsidR="00C00FEE">
        <w:rPr>
          <w:sz w:val="22"/>
          <w:szCs w:val="22"/>
        </w:rPr>
        <w:t>REDD</w:t>
      </w:r>
      <w:r w:rsidRPr="00906982">
        <w:rPr>
          <w:sz w:val="22"/>
          <w:szCs w:val="22"/>
        </w:rPr>
        <w:t>)</w:t>
      </w:r>
    </w:p>
    <w:p w:rsidR="0071058E" w:rsidRDefault="00750076">
      <w:pPr>
        <w:rPr>
          <w:sz w:val="22"/>
          <w:szCs w:val="22"/>
        </w:rPr>
      </w:pPr>
      <w:r w:rsidRPr="00906982">
        <w:rPr>
          <w:sz w:val="22"/>
          <w:szCs w:val="22"/>
        </w:rPr>
        <w:t xml:space="preserve">Environmental Assessment – </w:t>
      </w:r>
      <w:r w:rsidR="0071058E">
        <w:rPr>
          <w:sz w:val="22"/>
          <w:szCs w:val="22"/>
        </w:rPr>
        <w:t>North Carolina Catalyst</w:t>
      </w:r>
      <w:r w:rsidR="00C00FEE">
        <w:rPr>
          <w:sz w:val="22"/>
          <w:szCs w:val="22"/>
        </w:rPr>
        <w:t>, Neighborhood Revitalization</w:t>
      </w:r>
      <w:r w:rsidR="0071058E">
        <w:rPr>
          <w:sz w:val="22"/>
          <w:szCs w:val="22"/>
        </w:rPr>
        <w:t xml:space="preserve"> and Infrastructure.</w:t>
      </w:r>
      <w:r w:rsidRPr="00906982">
        <w:rPr>
          <w:sz w:val="22"/>
          <w:szCs w:val="22"/>
        </w:rPr>
        <w:t xml:space="preserve"> </w:t>
      </w:r>
    </w:p>
    <w:p w:rsidR="00750076" w:rsidRPr="00606159" w:rsidRDefault="00750076">
      <w:pPr>
        <w:rPr>
          <w:sz w:val="10"/>
          <w:szCs w:val="10"/>
        </w:rPr>
      </w:pPr>
    </w:p>
    <w:p w:rsidR="00750076" w:rsidRDefault="00750076">
      <w:pPr>
        <w:rPr>
          <w:sz w:val="22"/>
          <w:szCs w:val="22"/>
        </w:rPr>
      </w:pPr>
      <w:r w:rsidRPr="00906982">
        <w:rPr>
          <w:sz w:val="22"/>
          <w:szCs w:val="22"/>
        </w:rPr>
        <w:t xml:space="preserve">*The environmental condition will be </w:t>
      </w:r>
      <w:r w:rsidR="00E04FC3" w:rsidRPr="00906982">
        <w:rPr>
          <w:sz w:val="22"/>
          <w:szCs w:val="22"/>
        </w:rPr>
        <w:t>acknowledged</w:t>
      </w:r>
      <w:r w:rsidRPr="00906982">
        <w:rPr>
          <w:sz w:val="22"/>
          <w:szCs w:val="22"/>
        </w:rPr>
        <w:t xml:space="preserve"> by </w:t>
      </w:r>
      <w:r w:rsidR="00C00FEE">
        <w:rPr>
          <w:sz w:val="22"/>
          <w:szCs w:val="22"/>
        </w:rPr>
        <w:t>REDD</w:t>
      </w:r>
      <w:r w:rsidRPr="00906982">
        <w:rPr>
          <w:sz w:val="22"/>
          <w:szCs w:val="22"/>
        </w:rPr>
        <w:t xml:space="preserve"> the week we receive a complete and correct copy of the environmental review.  </w:t>
      </w:r>
    </w:p>
    <w:p w:rsidR="007F0896" w:rsidRPr="00906982" w:rsidRDefault="007F0896">
      <w:pPr>
        <w:rPr>
          <w:sz w:val="22"/>
          <w:szCs w:val="22"/>
        </w:rPr>
      </w:pPr>
      <w:r>
        <w:rPr>
          <w:sz w:val="22"/>
          <w:szCs w:val="22"/>
        </w:rPr>
        <w:t xml:space="preserve">**Please </w:t>
      </w:r>
      <w:r w:rsidR="007A5130">
        <w:rPr>
          <w:sz w:val="22"/>
          <w:szCs w:val="22"/>
        </w:rPr>
        <w:t xml:space="preserve">request for </w:t>
      </w:r>
      <w:r>
        <w:rPr>
          <w:sz w:val="22"/>
          <w:szCs w:val="22"/>
        </w:rPr>
        <w:t xml:space="preserve">review the </w:t>
      </w:r>
      <w:r w:rsidR="00C00FEE">
        <w:rPr>
          <w:sz w:val="22"/>
          <w:szCs w:val="22"/>
        </w:rPr>
        <w:t>REDD</w:t>
      </w:r>
      <w:r>
        <w:rPr>
          <w:sz w:val="22"/>
          <w:szCs w:val="22"/>
        </w:rPr>
        <w:t xml:space="preserve">’s </w:t>
      </w:r>
      <w:r w:rsidRPr="007F0896">
        <w:rPr>
          <w:i/>
          <w:sz w:val="22"/>
          <w:szCs w:val="22"/>
        </w:rPr>
        <w:t>Environmental Technical Assistance Handbook</w:t>
      </w:r>
      <w:r>
        <w:rPr>
          <w:sz w:val="22"/>
          <w:szCs w:val="22"/>
        </w:rPr>
        <w:t xml:space="preserve"> at for further guidance</w:t>
      </w:r>
      <w:r w:rsidR="00186883">
        <w:rPr>
          <w:sz w:val="22"/>
          <w:szCs w:val="22"/>
        </w:rPr>
        <w:t>.</w:t>
      </w:r>
    </w:p>
    <w:p w:rsidR="003D235F" w:rsidRPr="00C66BBC" w:rsidRDefault="003D235F">
      <w:pPr>
        <w:rPr>
          <w:sz w:val="16"/>
          <w:szCs w:val="16"/>
        </w:rPr>
      </w:pPr>
    </w:p>
    <w:p w:rsidR="00750076" w:rsidRPr="00906982" w:rsidRDefault="00750076">
      <w:pPr>
        <w:rPr>
          <w:sz w:val="22"/>
          <w:szCs w:val="22"/>
          <w:highlight w:val="yellow"/>
        </w:rPr>
      </w:pPr>
      <w:r w:rsidRPr="00906982">
        <w:rPr>
          <w:b/>
          <w:bCs/>
          <w:sz w:val="22"/>
          <w:szCs w:val="22"/>
          <w:u w:val="single"/>
        </w:rPr>
        <w:t>Request Release of Funds</w:t>
      </w:r>
      <w:r w:rsidR="006440CA" w:rsidRPr="00906982">
        <w:rPr>
          <w:sz w:val="22"/>
          <w:szCs w:val="22"/>
        </w:rPr>
        <w:t xml:space="preserve">: </w:t>
      </w:r>
      <w:r w:rsidRPr="00906982">
        <w:rPr>
          <w:sz w:val="22"/>
          <w:szCs w:val="22"/>
        </w:rPr>
        <w:t>Contact</w:t>
      </w:r>
      <w:r w:rsidR="00C872EA" w:rsidRPr="00906982">
        <w:rPr>
          <w:sz w:val="22"/>
          <w:szCs w:val="22"/>
        </w:rPr>
        <w:t>:</w:t>
      </w:r>
      <w:r w:rsidRPr="00906982">
        <w:rPr>
          <w:sz w:val="22"/>
          <w:szCs w:val="22"/>
        </w:rPr>
        <w:t xml:space="preserve"> </w:t>
      </w:r>
      <w:hyperlink r:id="rId11" w:history="1">
        <w:r w:rsidR="00FC0D16" w:rsidRPr="0068769A">
          <w:rPr>
            <w:rStyle w:val="Hyperlink"/>
            <w:sz w:val="22"/>
            <w:szCs w:val="22"/>
          </w:rPr>
          <w:t>compliance@nccommerce.com</w:t>
        </w:r>
      </w:hyperlink>
      <w:r w:rsidR="00FC0D16">
        <w:rPr>
          <w:sz w:val="22"/>
          <w:szCs w:val="22"/>
        </w:rPr>
        <w:t xml:space="preserve"> </w:t>
      </w:r>
    </w:p>
    <w:p w:rsidR="00750076" w:rsidRPr="00FC0D16" w:rsidRDefault="00750076">
      <w:pPr>
        <w:rPr>
          <w:sz w:val="10"/>
          <w:szCs w:val="10"/>
          <w:highlight w:val="yellow"/>
        </w:rPr>
      </w:pPr>
    </w:p>
    <w:p w:rsidR="00750076" w:rsidRPr="00906982" w:rsidRDefault="00750076">
      <w:pPr>
        <w:rPr>
          <w:sz w:val="22"/>
          <w:szCs w:val="22"/>
        </w:rPr>
      </w:pPr>
      <w:r w:rsidRPr="00FC0D16">
        <w:rPr>
          <w:i/>
          <w:iCs/>
          <w:sz w:val="22"/>
          <w:szCs w:val="22"/>
          <w:u w:val="single"/>
        </w:rPr>
        <w:t>Categorically Excluded</w:t>
      </w:r>
      <w:r w:rsidR="00FC0D16">
        <w:rPr>
          <w:i/>
          <w:iCs/>
          <w:sz w:val="22"/>
          <w:szCs w:val="22"/>
        </w:rPr>
        <w:t xml:space="preserve">: </w:t>
      </w:r>
      <w:r w:rsidRPr="00906982">
        <w:rPr>
          <w:sz w:val="22"/>
          <w:szCs w:val="22"/>
        </w:rPr>
        <w:t xml:space="preserve">Projects (use </w:t>
      </w:r>
      <w:r w:rsidR="007F0896">
        <w:rPr>
          <w:sz w:val="22"/>
          <w:szCs w:val="22"/>
        </w:rPr>
        <w:t>N</w:t>
      </w:r>
      <w:r w:rsidRPr="00906982">
        <w:rPr>
          <w:sz w:val="22"/>
          <w:szCs w:val="22"/>
        </w:rPr>
        <w:t xml:space="preserve">otice of </w:t>
      </w:r>
      <w:r w:rsidR="007F0896">
        <w:rPr>
          <w:sz w:val="22"/>
          <w:szCs w:val="22"/>
        </w:rPr>
        <w:t>I</w:t>
      </w:r>
      <w:r w:rsidRPr="00906982">
        <w:rPr>
          <w:sz w:val="22"/>
          <w:szCs w:val="22"/>
        </w:rPr>
        <w:t xml:space="preserve">ntent to </w:t>
      </w:r>
      <w:r w:rsidR="007F0896">
        <w:rPr>
          <w:sz w:val="22"/>
          <w:szCs w:val="22"/>
        </w:rPr>
        <w:t>R</w:t>
      </w:r>
      <w:r w:rsidRPr="00906982">
        <w:rPr>
          <w:sz w:val="22"/>
          <w:szCs w:val="22"/>
        </w:rPr>
        <w:t xml:space="preserve">equest </w:t>
      </w:r>
      <w:r w:rsidR="007F0896">
        <w:rPr>
          <w:sz w:val="22"/>
          <w:szCs w:val="22"/>
        </w:rPr>
        <w:t>R</w:t>
      </w:r>
      <w:r w:rsidRPr="00906982">
        <w:rPr>
          <w:sz w:val="22"/>
          <w:szCs w:val="22"/>
        </w:rPr>
        <w:t xml:space="preserve">elease of </w:t>
      </w:r>
      <w:r w:rsidR="007F0896">
        <w:rPr>
          <w:sz w:val="22"/>
          <w:szCs w:val="22"/>
        </w:rPr>
        <w:t>F</w:t>
      </w:r>
      <w:r w:rsidRPr="00906982">
        <w:rPr>
          <w:sz w:val="22"/>
          <w:szCs w:val="22"/>
        </w:rPr>
        <w:t>unds) – Posting 10-day local comment period; publishing 7-day local comment period</w:t>
      </w:r>
      <w:r w:rsidR="007F0896">
        <w:rPr>
          <w:sz w:val="22"/>
          <w:szCs w:val="22"/>
        </w:rPr>
        <w:t>.</w:t>
      </w:r>
    </w:p>
    <w:p w:rsidR="00750076" w:rsidRPr="00906982" w:rsidRDefault="00750076">
      <w:pPr>
        <w:rPr>
          <w:sz w:val="22"/>
          <w:szCs w:val="22"/>
        </w:rPr>
      </w:pPr>
      <w:r w:rsidRPr="00FC0D16">
        <w:rPr>
          <w:i/>
          <w:iCs/>
          <w:sz w:val="22"/>
          <w:szCs w:val="22"/>
          <w:u w:val="single"/>
        </w:rPr>
        <w:t>Environmental Assessment</w:t>
      </w:r>
      <w:r w:rsidR="00FC0D16">
        <w:rPr>
          <w:i/>
          <w:iCs/>
          <w:sz w:val="22"/>
          <w:szCs w:val="22"/>
          <w:u w:val="single"/>
        </w:rPr>
        <w:t>:</w:t>
      </w:r>
      <w:r w:rsidR="00FC0D16" w:rsidRPr="00FC0D16">
        <w:rPr>
          <w:iCs/>
          <w:sz w:val="22"/>
          <w:szCs w:val="22"/>
        </w:rPr>
        <w:t xml:space="preserve"> </w:t>
      </w:r>
      <w:r w:rsidRPr="00FC0D16">
        <w:rPr>
          <w:sz w:val="22"/>
          <w:szCs w:val="22"/>
        </w:rPr>
        <w:t xml:space="preserve"> </w:t>
      </w:r>
      <w:r w:rsidRPr="00906982">
        <w:rPr>
          <w:sz w:val="22"/>
          <w:szCs w:val="22"/>
        </w:rPr>
        <w:t>Projects (use combined notice) – Posting 18-day local comment period; publishing 15-day local comment period</w:t>
      </w:r>
      <w:r w:rsidR="007F0896">
        <w:rPr>
          <w:sz w:val="22"/>
          <w:szCs w:val="22"/>
        </w:rPr>
        <w:t>.</w:t>
      </w:r>
    </w:p>
    <w:p w:rsidR="00750076" w:rsidRPr="00906982" w:rsidRDefault="00750076">
      <w:pPr>
        <w:rPr>
          <w:sz w:val="22"/>
          <w:szCs w:val="22"/>
        </w:rPr>
      </w:pPr>
      <w:r w:rsidRPr="00906982">
        <w:rPr>
          <w:sz w:val="22"/>
          <w:szCs w:val="22"/>
        </w:rPr>
        <w:t>Posting documentation: letter from CEO stating 3 locations and dates posted</w:t>
      </w:r>
    </w:p>
    <w:p w:rsidR="00750076" w:rsidRPr="00906982" w:rsidRDefault="00750076">
      <w:pPr>
        <w:rPr>
          <w:sz w:val="22"/>
          <w:szCs w:val="22"/>
          <w:highlight w:val="yellow"/>
        </w:rPr>
      </w:pPr>
      <w:r w:rsidRPr="00906982">
        <w:rPr>
          <w:sz w:val="22"/>
          <w:szCs w:val="22"/>
        </w:rPr>
        <w:t>Publishing documentation: affidavit of publication from newspaper</w:t>
      </w:r>
    </w:p>
    <w:p w:rsidR="00750076" w:rsidRPr="00906982" w:rsidRDefault="00750076" w:rsidP="00606159">
      <w:pPr>
        <w:ind w:left="720"/>
        <w:rPr>
          <w:i/>
          <w:sz w:val="22"/>
          <w:szCs w:val="22"/>
          <w:highlight w:val="yellow"/>
        </w:rPr>
      </w:pPr>
      <w:r w:rsidRPr="00906982">
        <w:rPr>
          <w:i/>
          <w:sz w:val="22"/>
          <w:szCs w:val="22"/>
        </w:rPr>
        <w:t>--RROF is not required for Exempt Projects or Categorically Excluded Projects where compliance is not triggered</w:t>
      </w:r>
      <w:r w:rsidR="007F0896">
        <w:rPr>
          <w:i/>
          <w:sz w:val="22"/>
          <w:szCs w:val="22"/>
        </w:rPr>
        <w:t>.</w:t>
      </w:r>
    </w:p>
    <w:p w:rsidR="00750076" w:rsidRPr="00906982" w:rsidRDefault="00750076">
      <w:pPr>
        <w:rPr>
          <w:sz w:val="22"/>
          <w:szCs w:val="22"/>
        </w:rPr>
      </w:pPr>
      <w:r w:rsidRPr="00906982">
        <w:rPr>
          <w:sz w:val="22"/>
          <w:szCs w:val="22"/>
        </w:rPr>
        <w:t>-- Funds will not be released until original documents are received.</w:t>
      </w:r>
    </w:p>
    <w:p w:rsidR="00750076" w:rsidRDefault="0062318B">
      <w:pPr>
        <w:rPr>
          <w:sz w:val="22"/>
          <w:szCs w:val="22"/>
        </w:rPr>
      </w:pPr>
      <w:r w:rsidRPr="00906982">
        <w:rPr>
          <w:sz w:val="22"/>
          <w:szCs w:val="22"/>
        </w:rPr>
        <w:t>*</w:t>
      </w:r>
      <w:r w:rsidR="007F0896">
        <w:rPr>
          <w:sz w:val="22"/>
          <w:szCs w:val="22"/>
        </w:rPr>
        <w:t xml:space="preserve"> It is recommended to e</w:t>
      </w:r>
      <w:r w:rsidR="00750076" w:rsidRPr="00906982">
        <w:rPr>
          <w:sz w:val="22"/>
          <w:szCs w:val="22"/>
        </w:rPr>
        <w:t xml:space="preserve">mail </w:t>
      </w:r>
      <w:hyperlink r:id="rId12" w:history="1">
        <w:r w:rsidR="007F0896" w:rsidRPr="00900304">
          <w:rPr>
            <w:rStyle w:val="Hyperlink"/>
            <w:sz w:val="22"/>
            <w:szCs w:val="22"/>
          </w:rPr>
          <w:t>compliance@nccommerce.com</w:t>
        </w:r>
      </w:hyperlink>
      <w:r w:rsidR="007F0896">
        <w:rPr>
          <w:sz w:val="22"/>
          <w:szCs w:val="22"/>
        </w:rPr>
        <w:t xml:space="preserve"> </w:t>
      </w:r>
      <w:r w:rsidR="00750076" w:rsidRPr="00906982">
        <w:rPr>
          <w:sz w:val="22"/>
          <w:szCs w:val="22"/>
        </w:rPr>
        <w:t xml:space="preserve"> to check your dates before publishing or posting.</w:t>
      </w:r>
    </w:p>
    <w:p w:rsidR="007F0896" w:rsidRPr="00906982" w:rsidRDefault="007F0896" w:rsidP="007F0896">
      <w:pPr>
        <w:rPr>
          <w:sz w:val="22"/>
          <w:szCs w:val="22"/>
        </w:rPr>
      </w:pPr>
      <w:r>
        <w:rPr>
          <w:sz w:val="22"/>
          <w:szCs w:val="22"/>
        </w:rPr>
        <w:t xml:space="preserve">**Please </w:t>
      </w:r>
      <w:r w:rsidR="00186883">
        <w:rPr>
          <w:sz w:val="22"/>
          <w:szCs w:val="22"/>
        </w:rPr>
        <w:t xml:space="preserve">request for </w:t>
      </w:r>
      <w:r>
        <w:rPr>
          <w:sz w:val="22"/>
          <w:szCs w:val="22"/>
        </w:rPr>
        <w:t xml:space="preserve">review the </w:t>
      </w:r>
      <w:r w:rsidR="00C00FEE">
        <w:rPr>
          <w:sz w:val="22"/>
          <w:szCs w:val="22"/>
        </w:rPr>
        <w:t>REDD</w:t>
      </w:r>
      <w:r>
        <w:rPr>
          <w:sz w:val="22"/>
          <w:szCs w:val="22"/>
        </w:rPr>
        <w:t xml:space="preserve">’s </w:t>
      </w:r>
      <w:r w:rsidRPr="007F0896">
        <w:rPr>
          <w:i/>
          <w:sz w:val="22"/>
          <w:szCs w:val="22"/>
        </w:rPr>
        <w:t>Environmental Technical Assistance Handbook</w:t>
      </w:r>
      <w:r>
        <w:rPr>
          <w:sz w:val="22"/>
          <w:szCs w:val="22"/>
        </w:rPr>
        <w:t xml:space="preserve"> for further guidance</w:t>
      </w:r>
      <w:r w:rsidR="00186883">
        <w:rPr>
          <w:sz w:val="22"/>
          <w:szCs w:val="22"/>
        </w:rPr>
        <w:t>.</w:t>
      </w:r>
    </w:p>
    <w:p w:rsidR="007F0896" w:rsidRDefault="007F0896" w:rsidP="002402DE">
      <w:pPr>
        <w:pStyle w:val="Heading3"/>
        <w:rPr>
          <w:rFonts w:ascii="Times New Roman" w:hAnsi="Times New Roman"/>
          <w:szCs w:val="22"/>
        </w:rPr>
      </w:pPr>
    </w:p>
    <w:p w:rsidR="000512F7" w:rsidRPr="00906982" w:rsidRDefault="000512F7" w:rsidP="000512F7">
      <w:pPr>
        <w:pStyle w:val="Heading3"/>
        <w:rPr>
          <w:rFonts w:ascii="Times New Roman" w:hAnsi="Times New Roman"/>
          <w:b w:val="0"/>
          <w:szCs w:val="22"/>
        </w:rPr>
      </w:pPr>
      <w:r w:rsidRPr="00906982">
        <w:rPr>
          <w:rFonts w:ascii="Times New Roman" w:hAnsi="Times New Roman"/>
          <w:szCs w:val="22"/>
        </w:rPr>
        <w:t xml:space="preserve">Labor Standards: </w:t>
      </w:r>
      <w:r w:rsidR="006913CA" w:rsidRPr="006913CA">
        <w:rPr>
          <w:rFonts w:ascii="Times New Roman" w:hAnsi="Times New Roman"/>
          <w:b w:val="0"/>
          <w:szCs w:val="22"/>
        </w:rPr>
        <w:t xml:space="preserve">Go to the Department of Labor website </w:t>
      </w:r>
      <w:hyperlink r:id="rId13" w:history="1">
        <w:r w:rsidR="006913CA" w:rsidRPr="006913CA">
          <w:rPr>
            <w:rStyle w:val="Hyperlink"/>
            <w:rFonts w:ascii="Times New Roman" w:hAnsi="Times New Roman"/>
            <w:b w:val="0"/>
            <w:szCs w:val="22"/>
          </w:rPr>
          <w:t>http://wdol.gov/</w:t>
        </w:r>
      </w:hyperlink>
      <w:r w:rsidR="006913CA" w:rsidRPr="006913CA">
        <w:rPr>
          <w:rFonts w:ascii="Times New Roman" w:hAnsi="Times New Roman"/>
          <w:b w:val="0"/>
          <w:szCs w:val="22"/>
        </w:rPr>
        <w:t xml:space="preserve"> to obtain a Wage Decision. If you need help, contact </w:t>
      </w:r>
      <w:r w:rsidRPr="006913CA">
        <w:rPr>
          <w:rFonts w:ascii="Times New Roman" w:hAnsi="Times New Roman"/>
          <w:b w:val="0"/>
          <w:szCs w:val="22"/>
        </w:rPr>
        <w:t xml:space="preserve">Compliance Section at </w:t>
      </w:r>
      <w:hyperlink r:id="rId14" w:history="1">
        <w:r w:rsidRPr="006913CA">
          <w:rPr>
            <w:rStyle w:val="Hyperlink"/>
            <w:rFonts w:ascii="Times New Roman" w:hAnsi="Times New Roman"/>
            <w:b w:val="0"/>
            <w:szCs w:val="22"/>
          </w:rPr>
          <w:t>compliance@nccommerce.com</w:t>
        </w:r>
      </w:hyperlink>
      <w:r w:rsidRPr="006913CA">
        <w:rPr>
          <w:rFonts w:ascii="Times New Roman" w:hAnsi="Times New Roman"/>
          <w:b w:val="0"/>
          <w:szCs w:val="22"/>
        </w:rPr>
        <w:t xml:space="preserve">. </w:t>
      </w:r>
      <w:r w:rsidRPr="00906982">
        <w:rPr>
          <w:rFonts w:ascii="Times New Roman" w:hAnsi="Times New Roman"/>
          <w:b w:val="0"/>
          <w:szCs w:val="22"/>
        </w:rPr>
        <w:t xml:space="preserve">Send </w:t>
      </w:r>
      <w:r w:rsidR="00C00FEE">
        <w:rPr>
          <w:rFonts w:ascii="Times New Roman" w:hAnsi="Times New Roman"/>
          <w:b w:val="0"/>
          <w:szCs w:val="22"/>
        </w:rPr>
        <w:t>REDD</w:t>
      </w:r>
      <w:r w:rsidRPr="00906982">
        <w:rPr>
          <w:rFonts w:ascii="Times New Roman" w:hAnsi="Times New Roman"/>
          <w:b w:val="0"/>
          <w:szCs w:val="22"/>
        </w:rPr>
        <w:t xml:space="preserve"> Notice of Start of Construction Card with Copy of Preconstruction Meeting Minutes</w:t>
      </w:r>
      <w:r>
        <w:rPr>
          <w:rFonts w:ascii="Times New Roman" w:hAnsi="Times New Roman"/>
          <w:b w:val="0"/>
          <w:szCs w:val="22"/>
        </w:rPr>
        <w:t>.</w:t>
      </w:r>
      <w:r w:rsidRPr="00906982">
        <w:rPr>
          <w:rFonts w:ascii="Times New Roman" w:hAnsi="Times New Roman"/>
          <w:b w:val="0"/>
          <w:szCs w:val="22"/>
        </w:rPr>
        <w:t xml:space="preserve"> </w:t>
      </w:r>
      <w:r w:rsidR="006913CA">
        <w:rPr>
          <w:rFonts w:ascii="Times New Roman" w:hAnsi="Times New Roman"/>
          <w:b w:val="0"/>
          <w:szCs w:val="22"/>
        </w:rPr>
        <w:t>Report to Compliance HUD form 4710 (</w:t>
      </w:r>
      <w:r w:rsidR="006913CA" w:rsidRPr="006913CA">
        <w:rPr>
          <w:rFonts w:ascii="Times New Roman" w:hAnsi="Times New Roman"/>
          <w:b w:val="0"/>
          <w:i/>
          <w:szCs w:val="22"/>
        </w:rPr>
        <w:t>Semi-Annual Labor Report</w:t>
      </w:r>
      <w:r w:rsidR="006913CA">
        <w:rPr>
          <w:rFonts w:ascii="Times New Roman" w:hAnsi="Times New Roman"/>
          <w:b w:val="0"/>
          <w:szCs w:val="22"/>
        </w:rPr>
        <w:t xml:space="preserve">) every March and September. </w:t>
      </w:r>
      <w:r w:rsidRPr="00906982">
        <w:rPr>
          <w:rFonts w:ascii="Times New Roman" w:hAnsi="Times New Roman"/>
          <w:b w:val="0"/>
          <w:szCs w:val="22"/>
        </w:rPr>
        <w:t xml:space="preserve">Post Wage Decision, EEO Info, Workplace Safety, etc. at Worksite in a Weather-proof Method Need Sequentially Numbered Payrolls; First Labeled Initial and Last Labeled Final. Interview Cross-section of Trades and Different Employees Over the Time-span of the Work Being Performed. Refrain from repeat interviews of the same employee unless classification is changed. Required for </w:t>
      </w:r>
      <w:r w:rsidRPr="00906982">
        <w:rPr>
          <w:rFonts w:ascii="Times New Roman" w:hAnsi="Times New Roman"/>
          <w:szCs w:val="22"/>
          <w:u w:val="single"/>
        </w:rPr>
        <w:t>all</w:t>
      </w:r>
      <w:r w:rsidRPr="00906982">
        <w:rPr>
          <w:rFonts w:ascii="Times New Roman" w:hAnsi="Times New Roman"/>
          <w:b w:val="0"/>
          <w:szCs w:val="22"/>
        </w:rPr>
        <w:t xml:space="preserve"> components of the project (CDBG funded + all other trades)</w:t>
      </w:r>
    </w:p>
    <w:p w:rsidR="000512F7" w:rsidRDefault="000512F7" w:rsidP="002402DE">
      <w:pPr>
        <w:pStyle w:val="Heading3"/>
        <w:rPr>
          <w:rFonts w:ascii="Times New Roman" w:hAnsi="Times New Roman"/>
          <w:szCs w:val="22"/>
        </w:rPr>
      </w:pPr>
    </w:p>
    <w:p w:rsidR="00831A17" w:rsidRDefault="00750076" w:rsidP="002402DE">
      <w:pPr>
        <w:pStyle w:val="Heading3"/>
        <w:rPr>
          <w:rFonts w:ascii="Times New Roman" w:hAnsi="Times New Roman"/>
          <w:szCs w:val="22"/>
        </w:rPr>
      </w:pPr>
      <w:r w:rsidRPr="00906982">
        <w:rPr>
          <w:rFonts w:ascii="Times New Roman" w:hAnsi="Times New Roman"/>
          <w:szCs w:val="22"/>
        </w:rPr>
        <w:t>Procurement</w:t>
      </w:r>
      <w:r w:rsidR="00831A17">
        <w:rPr>
          <w:rFonts w:ascii="Times New Roman" w:hAnsi="Times New Roman"/>
          <w:szCs w:val="22"/>
        </w:rPr>
        <w:t xml:space="preserve">: </w:t>
      </w:r>
      <w:r w:rsidR="00831A17" w:rsidRPr="00831A17">
        <w:rPr>
          <w:rFonts w:ascii="Times New Roman" w:hAnsi="Times New Roman"/>
          <w:b w:val="0"/>
          <w:i/>
          <w:sz w:val="18"/>
          <w:szCs w:val="18"/>
        </w:rPr>
        <w:t>(refer to Bulletin 11-6</w:t>
      </w:r>
      <w:r w:rsidR="00F9724A">
        <w:rPr>
          <w:rFonts w:ascii="Times New Roman" w:hAnsi="Times New Roman"/>
          <w:b w:val="0"/>
          <w:i/>
          <w:sz w:val="18"/>
          <w:szCs w:val="18"/>
        </w:rPr>
        <w:t>,</w:t>
      </w:r>
      <w:r w:rsidR="00831A17">
        <w:rPr>
          <w:rFonts w:ascii="Times New Roman" w:hAnsi="Times New Roman"/>
          <w:b w:val="0"/>
          <w:i/>
          <w:sz w:val="18"/>
          <w:szCs w:val="18"/>
        </w:rPr>
        <w:t>10-10</w:t>
      </w:r>
      <w:r w:rsidR="00F9724A">
        <w:rPr>
          <w:rFonts w:ascii="Times New Roman" w:hAnsi="Times New Roman"/>
          <w:b w:val="0"/>
          <w:i/>
          <w:sz w:val="18"/>
          <w:szCs w:val="18"/>
        </w:rPr>
        <w:t xml:space="preserve">, 10-6, </w:t>
      </w:r>
      <w:proofErr w:type="spellStart"/>
      <w:r w:rsidR="00F9724A">
        <w:rPr>
          <w:rFonts w:ascii="Times New Roman" w:hAnsi="Times New Roman"/>
          <w:b w:val="0"/>
          <w:i/>
          <w:sz w:val="18"/>
          <w:szCs w:val="18"/>
        </w:rPr>
        <w:t>etc</w:t>
      </w:r>
      <w:proofErr w:type="spellEnd"/>
      <w:r w:rsidR="00831A17" w:rsidRPr="00831A17">
        <w:rPr>
          <w:rFonts w:ascii="Times New Roman" w:hAnsi="Times New Roman"/>
          <w:b w:val="0"/>
          <w:i/>
          <w:sz w:val="18"/>
          <w:szCs w:val="18"/>
        </w:rPr>
        <w:t>)</w:t>
      </w:r>
    </w:p>
    <w:p w:rsidR="002402DE" w:rsidRPr="00906982" w:rsidRDefault="002402DE" w:rsidP="002402DE">
      <w:pPr>
        <w:pStyle w:val="Heading3"/>
        <w:rPr>
          <w:rFonts w:ascii="Times New Roman" w:hAnsi="Times New Roman"/>
          <w:szCs w:val="22"/>
        </w:rPr>
      </w:pPr>
      <w:r w:rsidRPr="00906982">
        <w:rPr>
          <w:rFonts w:ascii="Times New Roman" w:hAnsi="Times New Roman"/>
          <w:b w:val="0"/>
          <w:szCs w:val="22"/>
        </w:rPr>
        <w:t xml:space="preserve">NC Interactive Purchasing System (IPS): </w:t>
      </w:r>
      <w:hyperlink r:id="rId15" w:history="1">
        <w:r w:rsidR="006913CA" w:rsidRPr="00990D9A">
          <w:rPr>
            <w:rStyle w:val="Hyperlink"/>
            <w:rFonts w:ascii="Times New Roman" w:hAnsi="Times New Roman"/>
            <w:b w:val="0"/>
            <w:szCs w:val="22"/>
          </w:rPr>
          <w:t>https://www.ips.state.nc.us/ips/</w:t>
        </w:r>
      </w:hyperlink>
    </w:p>
    <w:p w:rsidR="00750076" w:rsidRPr="00906982" w:rsidRDefault="00750076">
      <w:pPr>
        <w:rPr>
          <w:sz w:val="22"/>
          <w:szCs w:val="22"/>
        </w:rPr>
      </w:pPr>
      <w:r w:rsidRPr="00906982">
        <w:rPr>
          <w:sz w:val="22"/>
          <w:szCs w:val="22"/>
        </w:rPr>
        <w:t xml:space="preserve">Discuss the different types: </w:t>
      </w:r>
    </w:p>
    <w:p w:rsidR="00750076" w:rsidRPr="00906982" w:rsidRDefault="00750076">
      <w:pPr>
        <w:rPr>
          <w:sz w:val="22"/>
          <w:szCs w:val="22"/>
        </w:rPr>
      </w:pPr>
      <w:r w:rsidRPr="00906982">
        <w:rPr>
          <w:sz w:val="22"/>
          <w:szCs w:val="22"/>
        </w:rPr>
        <w:t>Small Purchase – $25,000 or less</w:t>
      </w:r>
    </w:p>
    <w:p w:rsidR="00750076" w:rsidRPr="00906982" w:rsidRDefault="00750076">
      <w:pPr>
        <w:rPr>
          <w:sz w:val="22"/>
          <w:szCs w:val="22"/>
        </w:rPr>
      </w:pPr>
      <w:r w:rsidRPr="00906982">
        <w:rPr>
          <w:sz w:val="22"/>
          <w:szCs w:val="22"/>
        </w:rPr>
        <w:t>Sealed Bids – formal advertising</w:t>
      </w:r>
    </w:p>
    <w:p w:rsidR="00750076" w:rsidRPr="00906982" w:rsidRDefault="00750076">
      <w:pPr>
        <w:rPr>
          <w:i/>
          <w:sz w:val="22"/>
          <w:szCs w:val="22"/>
        </w:rPr>
      </w:pPr>
      <w:r w:rsidRPr="00906982">
        <w:rPr>
          <w:sz w:val="22"/>
          <w:szCs w:val="22"/>
        </w:rPr>
        <w:t>Competitive Negotiation- administration contracts (</w:t>
      </w:r>
      <w:r w:rsidRPr="00906982">
        <w:rPr>
          <w:i/>
          <w:sz w:val="22"/>
          <w:szCs w:val="22"/>
        </w:rPr>
        <w:t>If the grantee is using a COG to administer the project, competitive negotiation is not needed.)</w:t>
      </w:r>
    </w:p>
    <w:p w:rsidR="00750076" w:rsidRPr="00C66BBC" w:rsidRDefault="00750076">
      <w:pPr>
        <w:rPr>
          <w:sz w:val="16"/>
          <w:szCs w:val="16"/>
        </w:rPr>
      </w:pPr>
      <w:r w:rsidRPr="00906982">
        <w:rPr>
          <w:sz w:val="22"/>
          <w:szCs w:val="22"/>
        </w:rPr>
        <w:t>Noncompetitive Negotiation – single source</w:t>
      </w:r>
      <w:r w:rsidR="00831A17">
        <w:rPr>
          <w:sz w:val="22"/>
          <w:szCs w:val="22"/>
        </w:rPr>
        <w:t xml:space="preserve"> </w:t>
      </w:r>
    </w:p>
    <w:p w:rsidR="001B7508" w:rsidRPr="000E3214" w:rsidRDefault="001B7508" w:rsidP="007F0896">
      <w:pPr>
        <w:rPr>
          <w:sz w:val="16"/>
          <w:szCs w:val="16"/>
        </w:rPr>
      </w:pPr>
    </w:p>
    <w:p w:rsidR="007F0896" w:rsidRPr="000E3214" w:rsidRDefault="007F0896" w:rsidP="007F0896">
      <w:pPr>
        <w:rPr>
          <w:sz w:val="20"/>
          <w:szCs w:val="20"/>
        </w:rPr>
      </w:pPr>
      <w:r w:rsidRPr="000E3214">
        <w:rPr>
          <w:sz w:val="20"/>
          <w:szCs w:val="20"/>
        </w:rPr>
        <w:t>______________________________</w:t>
      </w:r>
      <w:r w:rsidRPr="000E3214">
        <w:rPr>
          <w:sz w:val="20"/>
          <w:szCs w:val="20"/>
        </w:rPr>
        <w:tab/>
        <w:t>______________</w:t>
      </w:r>
      <w:r w:rsidRPr="000E3214">
        <w:rPr>
          <w:sz w:val="20"/>
          <w:szCs w:val="20"/>
        </w:rPr>
        <w:tab/>
        <w:t xml:space="preserve">              _____________________________ </w:t>
      </w:r>
    </w:p>
    <w:p w:rsidR="007F0896" w:rsidRPr="000E3214" w:rsidRDefault="007F0896" w:rsidP="007F0896">
      <w:pPr>
        <w:rPr>
          <w:sz w:val="20"/>
          <w:szCs w:val="20"/>
        </w:rPr>
      </w:pPr>
      <w:r w:rsidRPr="000E3214">
        <w:rPr>
          <w:sz w:val="20"/>
          <w:szCs w:val="20"/>
        </w:rPr>
        <w:lastRenderedPageBreak/>
        <w:t>CDBG Representative</w:t>
      </w:r>
      <w:r w:rsidRPr="000E3214">
        <w:rPr>
          <w:sz w:val="20"/>
          <w:szCs w:val="20"/>
        </w:rPr>
        <w:tab/>
      </w:r>
      <w:r w:rsidRPr="000E3214">
        <w:rPr>
          <w:sz w:val="20"/>
          <w:szCs w:val="20"/>
        </w:rPr>
        <w:tab/>
        <w:t xml:space="preserve">         </w:t>
      </w:r>
      <w:r w:rsidRPr="000E3214">
        <w:rPr>
          <w:sz w:val="20"/>
          <w:szCs w:val="20"/>
        </w:rPr>
        <w:tab/>
        <w:t>Date</w:t>
      </w:r>
      <w:r w:rsidRPr="000E3214">
        <w:rPr>
          <w:sz w:val="20"/>
          <w:szCs w:val="20"/>
        </w:rPr>
        <w:tab/>
      </w:r>
      <w:r w:rsidRPr="000E3214">
        <w:rPr>
          <w:sz w:val="20"/>
          <w:szCs w:val="20"/>
        </w:rPr>
        <w:tab/>
      </w:r>
      <w:r w:rsidRPr="000E3214">
        <w:rPr>
          <w:sz w:val="20"/>
          <w:szCs w:val="20"/>
        </w:rPr>
        <w:tab/>
        <w:t>Grantee Representative</w:t>
      </w:r>
    </w:p>
    <w:p w:rsidR="007F0896" w:rsidRPr="00C66BBC" w:rsidRDefault="007F0896">
      <w:pPr>
        <w:rPr>
          <w:b/>
          <w:sz w:val="16"/>
          <w:szCs w:val="16"/>
        </w:rPr>
      </w:pPr>
    </w:p>
    <w:p w:rsidR="000512F7" w:rsidRPr="00906982" w:rsidRDefault="000512F7" w:rsidP="000512F7">
      <w:pPr>
        <w:rPr>
          <w:sz w:val="22"/>
          <w:szCs w:val="22"/>
        </w:rPr>
      </w:pPr>
      <w:r w:rsidRPr="00906982">
        <w:rPr>
          <w:b/>
          <w:color w:val="000000"/>
          <w:sz w:val="22"/>
          <w:szCs w:val="22"/>
        </w:rPr>
        <w:t>Allowable Costs</w:t>
      </w:r>
      <w:r w:rsidRPr="00906982">
        <w:rPr>
          <w:color w:val="000000"/>
          <w:sz w:val="22"/>
          <w:szCs w:val="22"/>
        </w:rPr>
        <w:t xml:space="preserve">: States are required to follow </w:t>
      </w:r>
      <w:r w:rsidR="00C00FEE">
        <w:rPr>
          <w:color w:val="000000"/>
          <w:sz w:val="22"/>
          <w:szCs w:val="22"/>
        </w:rPr>
        <w:t xml:space="preserve">the </w:t>
      </w:r>
      <w:r w:rsidR="00C00FEE" w:rsidRPr="00C00FEE">
        <w:rPr>
          <w:b/>
          <w:color w:val="000000"/>
          <w:sz w:val="22"/>
          <w:szCs w:val="22"/>
        </w:rPr>
        <w:t>Uniform Administrative Requirements for Federal Grants</w:t>
      </w:r>
      <w:r w:rsidR="00C00FEE">
        <w:rPr>
          <w:color w:val="000000"/>
          <w:sz w:val="22"/>
          <w:szCs w:val="22"/>
        </w:rPr>
        <w:t xml:space="preserve">: </w:t>
      </w:r>
      <w:r w:rsidR="00C00FEE" w:rsidRPr="00C00FEE">
        <w:rPr>
          <w:i/>
          <w:color w:val="000000"/>
          <w:sz w:val="22"/>
          <w:szCs w:val="22"/>
        </w:rPr>
        <w:t>2CFR, Part 200 (Subparts A through D)</w:t>
      </w:r>
      <w:r w:rsidRPr="00906982">
        <w:rPr>
          <w:sz w:val="22"/>
          <w:szCs w:val="22"/>
        </w:rPr>
        <w:t xml:space="preserve"> that prescribe the cost accounting policies associated with the administering of Federal awards.</w:t>
      </w:r>
    </w:p>
    <w:p w:rsidR="000512F7" w:rsidRDefault="000512F7" w:rsidP="000512F7">
      <w:pPr>
        <w:rPr>
          <w:b/>
          <w:color w:val="000000"/>
          <w:sz w:val="22"/>
          <w:szCs w:val="22"/>
        </w:rPr>
      </w:pPr>
    </w:p>
    <w:p w:rsidR="000512F7" w:rsidRPr="00906982" w:rsidRDefault="000512F7" w:rsidP="000512F7">
      <w:pPr>
        <w:rPr>
          <w:sz w:val="22"/>
          <w:szCs w:val="22"/>
        </w:rPr>
      </w:pPr>
      <w:r w:rsidRPr="00906982">
        <w:rPr>
          <w:b/>
          <w:sz w:val="22"/>
          <w:szCs w:val="22"/>
        </w:rPr>
        <w:t>Debarment</w:t>
      </w:r>
      <w:r>
        <w:rPr>
          <w:b/>
          <w:sz w:val="22"/>
          <w:szCs w:val="22"/>
        </w:rPr>
        <w:t>:</w:t>
      </w:r>
      <w:r w:rsidRPr="00906982">
        <w:rPr>
          <w:b/>
          <w:sz w:val="22"/>
          <w:szCs w:val="22"/>
        </w:rPr>
        <w:t xml:space="preserve"> </w:t>
      </w:r>
      <w:r w:rsidRPr="00906982">
        <w:rPr>
          <w:sz w:val="22"/>
          <w:szCs w:val="22"/>
        </w:rPr>
        <w:t xml:space="preserve">Remind grantee that the grantee must confirm that all firms paid with CDBG funds must not be barred from business with the Federal and State governments and indicate the document used to verify non-debarment. The websites to check the firm’s debarment status are </w:t>
      </w:r>
      <w:hyperlink r:id="rId16" w:history="1">
        <w:r w:rsidRPr="00AC26F7">
          <w:rPr>
            <w:rStyle w:val="Hyperlink"/>
            <w:sz w:val="22"/>
            <w:szCs w:val="22"/>
          </w:rPr>
          <w:t>www.sam.gov</w:t>
        </w:r>
      </w:hyperlink>
      <w:r w:rsidRPr="00906982">
        <w:rPr>
          <w:sz w:val="22"/>
          <w:szCs w:val="22"/>
        </w:rPr>
        <w:t xml:space="preserve">  and </w:t>
      </w:r>
      <w:hyperlink r:id="rId17" w:history="1">
        <w:r w:rsidRPr="00906982">
          <w:rPr>
            <w:rStyle w:val="Hyperlink"/>
            <w:sz w:val="22"/>
            <w:szCs w:val="22"/>
          </w:rPr>
          <w:t>www.doa.state.nc.us/PandC/actions.htm</w:t>
        </w:r>
      </w:hyperlink>
    </w:p>
    <w:p w:rsidR="000512F7" w:rsidRPr="00C66BBC" w:rsidRDefault="000512F7" w:rsidP="000512F7">
      <w:pPr>
        <w:rPr>
          <w:b/>
          <w:bCs/>
          <w:sz w:val="16"/>
          <w:szCs w:val="16"/>
        </w:rPr>
      </w:pPr>
    </w:p>
    <w:p w:rsidR="00625AD3" w:rsidRPr="00906982" w:rsidRDefault="00086FF3">
      <w:pPr>
        <w:rPr>
          <w:sz w:val="22"/>
          <w:szCs w:val="22"/>
        </w:rPr>
      </w:pPr>
      <w:r w:rsidRPr="00906982">
        <w:rPr>
          <w:b/>
          <w:sz w:val="22"/>
          <w:szCs w:val="22"/>
        </w:rPr>
        <w:t>Equipment/Real Property Management</w:t>
      </w:r>
      <w:r w:rsidRPr="00906982">
        <w:rPr>
          <w:sz w:val="22"/>
          <w:szCs w:val="22"/>
        </w:rPr>
        <w:t>: Equipment refers to property that has useful life of more than one year and was purchased for $5,000 or more.  Federal requirements say that the State should use, manage and dispose of equipment in accordance with State laws and procedures. </w:t>
      </w:r>
      <w:r w:rsidR="005442BB" w:rsidRPr="00906982">
        <w:rPr>
          <w:sz w:val="22"/>
          <w:szCs w:val="22"/>
        </w:rPr>
        <w:t>Equipment &amp; property is r</w:t>
      </w:r>
      <w:r w:rsidR="001021C5" w:rsidRPr="00906982">
        <w:rPr>
          <w:sz w:val="22"/>
          <w:szCs w:val="22"/>
        </w:rPr>
        <w:t>eflected in closeout documents.</w:t>
      </w:r>
    </w:p>
    <w:p w:rsidR="00F25609" w:rsidRDefault="00F25609">
      <w:pPr>
        <w:rPr>
          <w:b/>
          <w:bCs/>
          <w:sz w:val="22"/>
          <w:szCs w:val="22"/>
        </w:rPr>
      </w:pPr>
    </w:p>
    <w:p w:rsidR="00750076" w:rsidRPr="00906982" w:rsidRDefault="00750076">
      <w:pPr>
        <w:rPr>
          <w:sz w:val="22"/>
          <w:szCs w:val="22"/>
        </w:rPr>
      </w:pPr>
      <w:r w:rsidRPr="00906982">
        <w:rPr>
          <w:b/>
          <w:bCs/>
          <w:sz w:val="22"/>
          <w:szCs w:val="22"/>
        </w:rPr>
        <w:t>Requisitions</w:t>
      </w:r>
      <w:r w:rsidRPr="00906982">
        <w:rPr>
          <w:sz w:val="22"/>
          <w:szCs w:val="22"/>
        </w:rPr>
        <w:t xml:space="preserve"> – Contact </w:t>
      </w:r>
      <w:r w:rsidRPr="00186883">
        <w:rPr>
          <w:sz w:val="22"/>
          <w:szCs w:val="22"/>
        </w:rPr>
        <w:t>919-</w:t>
      </w:r>
      <w:r w:rsidR="00186883" w:rsidRPr="00186883">
        <w:rPr>
          <w:sz w:val="22"/>
          <w:szCs w:val="22"/>
        </w:rPr>
        <w:t>814-4600</w:t>
      </w:r>
      <w:r w:rsidR="00C872EA" w:rsidRPr="00186883">
        <w:rPr>
          <w:sz w:val="22"/>
          <w:szCs w:val="22"/>
        </w:rPr>
        <w:t xml:space="preserve"> Fax</w:t>
      </w:r>
      <w:r w:rsidRPr="00186883">
        <w:rPr>
          <w:sz w:val="22"/>
          <w:szCs w:val="22"/>
        </w:rPr>
        <w:t xml:space="preserve"> 919-</w:t>
      </w:r>
      <w:r w:rsidR="00186883" w:rsidRPr="00186883">
        <w:rPr>
          <w:sz w:val="22"/>
          <w:szCs w:val="22"/>
        </w:rPr>
        <w:t>715-0567</w:t>
      </w:r>
    </w:p>
    <w:p w:rsidR="007838C4" w:rsidRPr="00B93EEC" w:rsidRDefault="007838C4">
      <w:pPr>
        <w:rPr>
          <w:sz w:val="10"/>
          <w:szCs w:val="10"/>
        </w:rPr>
      </w:pPr>
    </w:p>
    <w:p w:rsidR="00750076" w:rsidRPr="00906982" w:rsidRDefault="00750076">
      <w:pPr>
        <w:rPr>
          <w:sz w:val="22"/>
          <w:szCs w:val="22"/>
        </w:rPr>
      </w:pPr>
      <w:r w:rsidRPr="00906982">
        <w:rPr>
          <w:sz w:val="22"/>
          <w:szCs w:val="22"/>
        </w:rPr>
        <w:t xml:space="preserve">Cut off day for mail &amp; faxes is Thursday 12:00 Noon. Payment should be in your designated account by Friday of the next week. Must requisition at least $2,500 unless at end of grant. Requisition form is on the </w:t>
      </w:r>
      <w:r w:rsidR="00C00FEE">
        <w:rPr>
          <w:sz w:val="22"/>
          <w:szCs w:val="22"/>
        </w:rPr>
        <w:t>REDD</w:t>
      </w:r>
      <w:r w:rsidRPr="00906982">
        <w:rPr>
          <w:sz w:val="22"/>
          <w:szCs w:val="22"/>
        </w:rPr>
        <w:t xml:space="preserve"> website. </w:t>
      </w:r>
      <w:r w:rsidRPr="00906982">
        <w:rPr>
          <w:i/>
          <w:sz w:val="22"/>
          <w:szCs w:val="22"/>
        </w:rPr>
        <w:t xml:space="preserve">Drawdown schedule in </w:t>
      </w:r>
      <w:r w:rsidR="00B260F7" w:rsidRPr="00906982">
        <w:rPr>
          <w:i/>
          <w:sz w:val="22"/>
          <w:szCs w:val="22"/>
        </w:rPr>
        <w:t>para</w:t>
      </w:r>
      <w:r w:rsidR="005F5CF4" w:rsidRPr="00906982">
        <w:rPr>
          <w:i/>
          <w:sz w:val="22"/>
          <w:szCs w:val="22"/>
        </w:rPr>
        <w:t>graph</w:t>
      </w:r>
      <w:r w:rsidR="00B260F7" w:rsidRPr="00906982">
        <w:rPr>
          <w:i/>
          <w:sz w:val="22"/>
          <w:szCs w:val="22"/>
        </w:rPr>
        <w:t xml:space="preserve"> </w:t>
      </w:r>
      <w:r w:rsidR="001B7508">
        <w:rPr>
          <w:i/>
          <w:sz w:val="22"/>
          <w:szCs w:val="22"/>
        </w:rPr>
        <w:t xml:space="preserve">29 </w:t>
      </w:r>
      <w:r w:rsidRPr="00906982">
        <w:rPr>
          <w:i/>
          <w:sz w:val="22"/>
          <w:szCs w:val="22"/>
        </w:rPr>
        <w:t>of GA</w:t>
      </w:r>
      <w:r w:rsidR="005F5CF4" w:rsidRPr="00906982">
        <w:rPr>
          <w:i/>
          <w:sz w:val="22"/>
          <w:szCs w:val="22"/>
        </w:rPr>
        <w:t>.</w:t>
      </w:r>
    </w:p>
    <w:p w:rsidR="00750076" w:rsidRPr="00866A2B" w:rsidRDefault="00750076">
      <w:pPr>
        <w:rPr>
          <w:sz w:val="22"/>
          <w:szCs w:val="22"/>
        </w:rPr>
      </w:pPr>
    </w:p>
    <w:p w:rsidR="00750076" w:rsidRPr="00906982" w:rsidRDefault="00750076">
      <w:pPr>
        <w:pStyle w:val="Heading3"/>
        <w:rPr>
          <w:rFonts w:ascii="Times New Roman" w:hAnsi="Times New Roman"/>
          <w:szCs w:val="22"/>
        </w:rPr>
      </w:pPr>
      <w:r w:rsidRPr="00906982">
        <w:rPr>
          <w:rFonts w:ascii="Times New Roman" w:hAnsi="Times New Roman"/>
          <w:szCs w:val="22"/>
        </w:rPr>
        <w:t>Report</w:t>
      </w:r>
      <w:r w:rsidR="00B93EEC">
        <w:rPr>
          <w:rFonts w:ascii="Times New Roman" w:hAnsi="Times New Roman"/>
          <w:szCs w:val="22"/>
        </w:rPr>
        <w:t>ing</w:t>
      </w:r>
    </w:p>
    <w:p w:rsidR="00750076" w:rsidRPr="00B93EEC" w:rsidRDefault="00750076">
      <w:pPr>
        <w:rPr>
          <w:sz w:val="10"/>
          <w:szCs w:val="10"/>
          <w:u w:val="single"/>
        </w:rPr>
      </w:pPr>
    </w:p>
    <w:p w:rsidR="00750076" w:rsidRPr="00906982" w:rsidRDefault="00750076">
      <w:pPr>
        <w:rPr>
          <w:sz w:val="22"/>
          <w:szCs w:val="22"/>
        </w:rPr>
      </w:pPr>
      <w:r w:rsidRPr="00906982">
        <w:rPr>
          <w:i/>
          <w:sz w:val="22"/>
          <w:szCs w:val="22"/>
        </w:rPr>
        <w:t>Annual Performance Report (APR)</w:t>
      </w:r>
      <w:r w:rsidRPr="00906982">
        <w:rPr>
          <w:sz w:val="22"/>
          <w:szCs w:val="22"/>
        </w:rPr>
        <w:t xml:space="preserve"> due annually.</w:t>
      </w:r>
      <w:r w:rsidR="007F0896">
        <w:rPr>
          <w:sz w:val="22"/>
          <w:szCs w:val="22"/>
        </w:rPr>
        <w:t xml:space="preserve"> </w:t>
      </w:r>
      <w:r w:rsidR="00AB330A" w:rsidRPr="00906982">
        <w:rPr>
          <w:sz w:val="22"/>
          <w:szCs w:val="22"/>
        </w:rPr>
        <w:t xml:space="preserve"> </w:t>
      </w:r>
      <w:r w:rsidRPr="00906982">
        <w:rPr>
          <w:i/>
          <w:sz w:val="22"/>
          <w:szCs w:val="22"/>
        </w:rPr>
        <w:t>Audits</w:t>
      </w:r>
      <w:r w:rsidRPr="00906982">
        <w:rPr>
          <w:sz w:val="22"/>
          <w:szCs w:val="22"/>
        </w:rPr>
        <w:t xml:space="preserve"> </w:t>
      </w:r>
      <w:r w:rsidR="00E606A5" w:rsidRPr="00906982">
        <w:rPr>
          <w:sz w:val="22"/>
          <w:szCs w:val="22"/>
        </w:rPr>
        <w:t xml:space="preserve">are </w:t>
      </w:r>
      <w:r w:rsidRPr="00906982">
        <w:rPr>
          <w:sz w:val="22"/>
          <w:szCs w:val="22"/>
        </w:rPr>
        <w:t>due by April 30 each year if the grantee has expended $25,000 in that fiscal year (July 1 to June 30 the following year).</w:t>
      </w:r>
      <w:r w:rsidR="00AB330A" w:rsidRPr="00906982">
        <w:rPr>
          <w:sz w:val="22"/>
          <w:szCs w:val="22"/>
        </w:rPr>
        <w:t xml:space="preserve"> If these reports are not received at </w:t>
      </w:r>
      <w:r w:rsidR="00C00FEE">
        <w:rPr>
          <w:sz w:val="22"/>
          <w:szCs w:val="22"/>
        </w:rPr>
        <w:t>REDD</w:t>
      </w:r>
      <w:r w:rsidR="00AB330A" w:rsidRPr="00906982">
        <w:rPr>
          <w:sz w:val="22"/>
          <w:szCs w:val="22"/>
        </w:rPr>
        <w:t xml:space="preserve"> by the due date, grants funds may be frozen without </w:t>
      </w:r>
      <w:r w:rsidR="00E606A5" w:rsidRPr="00906982">
        <w:rPr>
          <w:sz w:val="22"/>
          <w:szCs w:val="22"/>
        </w:rPr>
        <w:t>additional</w:t>
      </w:r>
      <w:r w:rsidR="00AB330A" w:rsidRPr="00906982">
        <w:rPr>
          <w:sz w:val="22"/>
          <w:szCs w:val="22"/>
        </w:rPr>
        <w:t xml:space="preserve"> notice.</w:t>
      </w:r>
    </w:p>
    <w:p w:rsidR="000E3214" w:rsidRPr="00866A2B" w:rsidRDefault="000E3214">
      <w:pPr>
        <w:rPr>
          <w:b/>
          <w:bCs/>
          <w:i/>
          <w:sz w:val="22"/>
          <w:szCs w:val="22"/>
        </w:rPr>
      </w:pPr>
    </w:p>
    <w:p w:rsidR="00750076" w:rsidRPr="00906982" w:rsidRDefault="00A1063F">
      <w:pPr>
        <w:rPr>
          <w:sz w:val="22"/>
          <w:szCs w:val="22"/>
        </w:rPr>
      </w:pPr>
      <w:r>
        <w:rPr>
          <w:b/>
          <w:bCs/>
          <w:i/>
          <w:sz w:val="22"/>
          <w:szCs w:val="22"/>
        </w:rPr>
        <w:t>Month</w:t>
      </w:r>
      <w:r w:rsidR="00750076" w:rsidRPr="00906982">
        <w:rPr>
          <w:b/>
          <w:bCs/>
          <w:i/>
          <w:sz w:val="22"/>
          <w:szCs w:val="22"/>
        </w:rPr>
        <w:t>ly status report</w:t>
      </w:r>
      <w:r w:rsidR="00750076" w:rsidRPr="00906982">
        <w:rPr>
          <w:b/>
          <w:bCs/>
          <w:sz w:val="22"/>
          <w:szCs w:val="22"/>
        </w:rPr>
        <w:t xml:space="preserve"> containing activity and financial information is required</w:t>
      </w:r>
      <w:r w:rsidR="00C95A14" w:rsidRPr="00906982">
        <w:rPr>
          <w:b/>
          <w:bCs/>
          <w:sz w:val="22"/>
          <w:szCs w:val="22"/>
        </w:rPr>
        <w:t xml:space="preserve"> </w:t>
      </w:r>
      <w:r w:rsidR="00B60611" w:rsidRPr="00F9098A">
        <w:rPr>
          <w:bCs/>
          <w:i/>
          <w:sz w:val="22"/>
          <w:szCs w:val="22"/>
        </w:rPr>
        <w:t xml:space="preserve">per </w:t>
      </w:r>
      <w:r w:rsidR="00B60611" w:rsidRPr="00F9098A">
        <w:rPr>
          <w:i/>
          <w:sz w:val="22"/>
          <w:szCs w:val="22"/>
        </w:rPr>
        <w:t>Bulletin 1</w:t>
      </w:r>
      <w:r w:rsidR="00D9702D">
        <w:rPr>
          <w:i/>
          <w:sz w:val="22"/>
          <w:szCs w:val="22"/>
        </w:rPr>
        <w:t>3</w:t>
      </w:r>
      <w:r w:rsidR="00B60611" w:rsidRPr="00F9098A">
        <w:rPr>
          <w:i/>
          <w:sz w:val="22"/>
          <w:szCs w:val="22"/>
        </w:rPr>
        <w:t>-</w:t>
      </w:r>
      <w:r w:rsidR="00D9702D">
        <w:rPr>
          <w:i/>
          <w:sz w:val="22"/>
          <w:szCs w:val="22"/>
        </w:rPr>
        <w:t>1</w:t>
      </w:r>
      <w:r w:rsidR="00750076" w:rsidRPr="00906982">
        <w:rPr>
          <w:sz w:val="22"/>
          <w:szCs w:val="22"/>
        </w:rPr>
        <w:t xml:space="preserve">. </w:t>
      </w:r>
      <w:r w:rsidR="00C95A14" w:rsidRPr="00906982">
        <w:rPr>
          <w:sz w:val="22"/>
          <w:szCs w:val="22"/>
        </w:rPr>
        <w:t xml:space="preserve">Form tab 2 contains instructions. </w:t>
      </w:r>
      <w:r w:rsidR="00186883">
        <w:rPr>
          <w:sz w:val="22"/>
          <w:szCs w:val="22"/>
        </w:rPr>
        <w:t xml:space="preserve">Please contact REDD for a copy of Bulletin 13-1. </w:t>
      </w:r>
      <w:r w:rsidR="0036326E" w:rsidRPr="00906982">
        <w:rPr>
          <w:sz w:val="22"/>
          <w:szCs w:val="22"/>
        </w:rPr>
        <w:t xml:space="preserve">Report endorsed by grantee and </w:t>
      </w:r>
      <w:r w:rsidR="00E64C23">
        <w:rPr>
          <w:sz w:val="22"/>
          <w:szCs w:val="22"/>
        </w:rPr>
        <w:t>emailed</w:t>
      </w:r>
      <w:r w:rsidR="0036326E" w:rsidRPr="00906982">
        <w:rPr>
          <w:sz w:val="22"/>
          <w:szCs w:val="22"/>
        </w:rPr>
        <w:t xml:space="preserve"> to me by 1</w:t>
      </w:r>
      <w:r w:rsidR="00B260F7" w:rsidRPr="00906982">
        <w:rPr>
          <w:sz w:val="22"/>
          <w:szCs w:val="22"/>
        </w:rPr>
        <w:t>5</w:t>
      </w:r>
      <w:r w:rsidR="0036326E" w:rsidRPr="00906982">
        <w:rPr>
          <w:sz w:val="22"/>
          <w:szCs w:val="22"/>
          <w:vertAlign w:val="superscript"/>
        </w:rPr>
        <w:t>th</w:t>
      </w:r>
      <w:r w:rsidR="0036326E" w:rsidRPr="00906982">
        <w:rPr>
          <w:sz w:val="22"/>
          <w:szCs w:val="22"/>
        </w:rPr>
        <w:t xml:space="preserve"> of month.</w:t>
      </w:r>
    </w:p>
    <w:p w:rsidR="00750076" w:rsidRPr="00866A2B" w:rsidRDefault="00750076">
      <w:pPr>
        <w:rPr>
          <w:sz w:val="22"/>
          <w:szCs w:val="22"/>
        </w:rPr>
      </w:pPr>
    </w:p>
    <w:p w:rsidR="000E3214" w:rsidRPr="00906982" w:rsidRDefault="000E3214" w:rsidP="000E3214">
      <w:pPr>
        <w:rPr>
          <w:sz w:val="22"/>
          <w:szCs w:val="22"/>
        </w:rPr>
      </w:pPr>
      <w:r w:rsidRPr="000E3214">
        <w:rPr>
          <w:bCs/>
          <w:sz w:val="22"/>
          <w:szCs w:val="22"/>
        </w:rPr>
        <w:t xml:space="preserve">All </w:t>
      </w:r>
      <w:r w:rsidRPr="00906982">
        <w:rPr>
          <w:b/>
          <w:bCs/>
          <w:sz w:val="22"/>
          <w:szCs w:val="22"/>
        </w:rPr>
        <w:t>Correspondence</w:t>
      </w:r>
      <w:r w:rsidRPr="00906982">
        <w:rPr>
          <w:sz w:val="22"/>
          <w:szCs w:val="22"/>
        </w:rPr>
        <w:t xml:space="preserve"> must be signed by the CEO or a designee identified by Board Resolution. </w:t>
      </w:r>
      <w:r w:rsidRPr="00906982">
        <w:rPr>
          <w:b/>
          <w:sz w:val="22"/>
          <w:szCs w:val="22"/>
        </w:rPr>
        <w:t>At least one copy of the correspondence must have the original signature of the Chief Elected Official or person authorized to sign CDBG documents.</w:t>
      </w:r>
    </w:p>
    <w:p w:rsidR="00750076" w:rsidRDefault="00750076">
      <w:pPr>
        <w:rPr>
          <w:sz w:val="22"/>
          <w:szCs w:val="22"/>
        </w:rPr>
      </w:pPr>
    </w:p>
    <w:p w:rsidR="00FC035A" w:rsidRPr="00906982" w:rsidRDefault="00FC035A" w:rsidP="00FC035A">
      <w:pPr>
        <w:rPr>
          <w:sz w:val="22"/>
          <w:szCs w:val="22"/>
        </w:rPr>
      </w:pPr>
      <w:r w:rsidRPr="00906982">
        <w:rPr>
          <w:b/>
          <w:bCs/>
          <w:sz w:val="22"/>
          <w:szCs w:val="22"/>
        </w:rPr>
        <w:t>Budget/Project Ordinance</w:t>
      </w:r>
      <w:r w:rsidRPr="00906982">
        <w:rPr>
          <w:sz w:val="22"/>
          <w:szCs w:val="22"/>
        </w:rPr>
        <w:t xml:space="preserve"> and </w:t>
      </w:r>
      <w:r w:rsidRPr="00906982">
        <w:rPr>
          <w:b/>
          <w:bCs/>
          <w:sz w:val="22"/>
          <w:szCs w:val="22"/>
        </w:rPr>
        <w:t>Annual Audits</w:t>
      </w:r>
    </w:p>
    <w:p w:rsidR="00FC035A" w:rsidRPr="00B93EEC" w:rsidRDefault="00FC035A" w:rsidP="00FC035A">
      <w:pPr>
        <w:rPr>
          <w:sz w:val="10"/>
          <w:szCs w:val="10"/>
        </w:rPr>
      </w:pPr>
    </w:p>
    <w:p w:rsidR="00FC035A" w:rsidRPr="00906982" w:rsidRDefault="00FC035A" w:rsidP="00FC035A">
      <w:pPr>
        <w:rPr>
          <w:sz w:val="22"/>
          <w:szCs w:val="22"/>
        </w:rPr>
      </w:pPr>
      <w:r w:rsidRPr="00906982">
        <w:rPr>
          <w:sz w:val="22"/>
          <w:szCs w:val="22"/>
        </w:rPr>
        <w:t xml:space="preserve">A budget/project ordinance is required to be adopted by the board. Please make sure that your auditor is made aware to reflect the amount of the Budget/Project Authorization, Revenue and Expenditure; amounts recorded appropriately as Prior Years, Current Year and Total to Date. Additionally, each grant year funds stand alone and are not to be mingled with other grants or other sources of funding. CDBG program funds may only be used to pay for the CDBG portion of the audit costs </w:t>
      </w:r>
      <w:r w:rsidRPr="00906982">
        <w:rPr>
          <w:sz w:val="22"/>
          <w:szCs w:val="22"/>
          <w:u w:val="single"/>
        </w:rPr>
        <w:t>if</w:t>
      </w:r>
      <w:r w:rsidRPr="00906982">
        <w:rPr>
          <w:sz w:val="22"/>
          <w:szCs w:val="22"/>
        </w:rPr>
        <w:t xml:space="preserve"> more than five hundred thousand dollars ($500,000) in </w:t>
      </w:r>
      <w:r w:rsidRPr="00906982">
        <w:rPr>
          <w:sz w:val="22"/>
          <w:szCs w:val="22"/>
          <w:u w:val="single"/>
        </w:rPr>
        <w:t xml:space="preserve">all </w:t>
      </w:r>
      <w:r w:rsidRPr="00906982">
        <w:rPr>
          <w:sz w:val="22"/>
          <w:szCs w:val="22"/>
        </w:rPr>
        <w:t>Federal Programs are used.</w:t>
      </w:r>
    </w:p>
    <w:p w:rsidR="00C00283" w:rsidRDefault="00C00283" w:rsidP="00C00283">
      <w:pPr>
        <w:rPr>
          <w:sz w:val="20"/>
          <w:szCs w:val="20"/>
        </w:rPr>
      </w:pPr>
    </w:p>
    <w:p w:rsidR="00C00283" w:rsidRDefault="00C00283" w:rsidP="00C00283">
      <w:pPr>
        <w:rPr>
          <w:sz w:val="20"/>
          <w:szCs w:val="20"/>
        </w:rPr>
      </w:pPr>
    </w:p>
    <w:p w:rsidR="001B7508" w:rsidRDefault="001B7508" w:rsidP="00C00283">
      <w:pPr>
        <w:rPr>
          <w:sz w:val="20"/>
          <w:szCs w:val="20"/>
        </w:rPr>
      </w:pPr>
    </w:p>
    <w:p w:rsidR="001B7508" w:rsidRDefault="001B7508" w:rsidP="00C00283">
      <w:pPr>
        <w:rPr>
          <w:sz w:val="20"/>
          <w:szCs w:val="20"/>
        </w:rPr>
      </w:pPr>
    </w:p>
    <w:p w:rsidR="001B7508" w:rsidRDefault="001B7508" w:rsidP="00C00283">
      <w:pPr>
        <w:rPr>
          <w:sz w:val="20"/>
          <w:szCs w:val="20"/>
        </w:rPr>
      </w:pPr>
    </w:p>
    <w:p w:rsidR="00C00283" w:rsidRPr="000E3214" w:rsidRDefault="00C00283" w:rsidP="00C00283">
      <w:pPr>
        <w:rPr>
          <w:sz w:val="20"/>
          <w:szCs w:val="20"/>
        </w:rPr>
      </w:pPr>
      <w:r w:rsidRPr="000E3214">
        <w:rPr>
          <w:sz w:val="20"/>
          <w:szCs w:val="20"/>
        </w:rPr>
        <w:t>______________________________</w:t>
      </w:r>
      <w:r w:rsidRPr="000E3214">
        <w:rPr>
          <w:sz w:val="20"/>
          <w:szCs w:val="20"/>
        </w:rPr>
        <w:tab/>
        <w:t>______________</w:t>
      </w:r>
      <w:r w:rsidRPr="000E3214">
        <w:rPr>
          <w:sz w:val="20"/>
          <w:szCs w:val="20"/>
        </w:rPr>
        <w:tab/>
        <w:t xml:space="preserve">              _____________________________ </w:t>
      </w:r>
    </w:p>
    <w:p w:rsidR="00C00283" w:rsidRPr="001E3893" w:rsidRDefault="00C00283" w:rsidP="00C00283">
      <w:pPr>
        <w:rPr>
          <w:sz w:val="20"/>
          <w:szCs w:val="20"/>
        </w:rPr>
      </w:pPr>
      <w:r w:rsidRPr="000E3214">
        <w:rPr>
          <w:sz w:val="20"/>
          <w:szCs w:val="20"/>
        </w:rPr>
        <w:t>CDBG Representative</w:t>
      </w:r>
      <w:r w:rsidRPr="000E3214">
        <w:rPr>
          <w:sz w:val="20"/>
          <w:szCs w:val="20"/>
        </w:rPr>
        <w:tab/>
      </w:r>
      <w:r w:rsidRPr="000E3214">
        <w:rPr>
          <w:sz w:val="20"/>
          <w:szCs w:val="20"/>
        </w:rPr>
        <w:tab/>
        <w:t xml:space="preserve">         </w:t>
      </w:r>
      <w:r w:rsidRPr="000E3214">
        <w:rPr>
          <w:sz w:val="20"/>
          <w:szCs w:val="20"/>
        </w:rPr>
        <w:tab/>
        <w:t>Date</w:t>
      </w:r>
      <w:r w:rsidRPr="000E3214">
        <w:rPr>
          <w:sz w:val="20"/>
          <w:szCs w:val="20"/>
        </w:rPr>
        <w:tab/>
      </w:r>
      <w:r w:rsidRPr="000E3214">
        <w:rPr>
          <w:sz w:val="20"/>
          <w:szCs w:val="20"/>
        </w:rPr>
        <w:tab/>
      </w:r>
      <w:r w:rsidRPr="000E3214">
        <w:rPr>
          <w:sz w:val="20"/>
          <w:szCs w:val="20"/>
        </w:rPr>
        <w:tab/>
        <w:t>Grantee Representative</w:t>
      </w:r>
    </w:p>
    <w:p w:rsidR="001B7508" w:rsidRPr="00906982" w:rsidRDefault="001B7508">
      <w:pPr>
        <w:rPr>
          <w:sz w:val="22"/>
          <w:szCs w:val="22"/>
        </w:rPr>
      </w:pPr>
    </w:p>
    <w:p w:rsidR="000512F7" w:rsidRDefault="000512F7" w:rsidP="00C872EA">
      <w:pPr>
        <w:rPr>
          <w:b/>
          <w:sz w:val="22"/>
          <w:szCs w:val="22"/>
        </w:rPr>
      </w:pPr>
    </w:p>
    <w:p w:rsidR="000512F7" w:rsidRDefault="000512F7" w:rsidP="00C872EA">
      <w:pPr>
        <w:rPr>
          <w:b/>
          <w:sz w:val="22"/>
          <w:szCs w:val="22"/>
        </w:rPr>
      </w:pPr>
    </w:p>
    <w:p w:rsidR="00F95DA3" w:rsidRDefault="00F95DA3" w:rsidP="00C872EA">
      <w:pPr>
        <w:rPr>
          <w:b/>
          <w:sz w:val="22"/>
          <w:szCs w:val="22"/>
        </w:rPr>
      </w:pPr>
      <w:r>
        <w:rPr>
          <w:b/>
          <w:sz w:val="22"/>
          <w:szCs w:val="22"/>
        </w:rPr>
        <w:t xml:space="preserve">Rehabilitation </w:t>
      </w:r>
      <w:r w:rsidR="00F156D6">
        <w:rPr>
          <w:b/>
          <w:sz w:val="22"/>
          <w:szCs w:val="22"/>
        </w:rPr>
        <w:tab/>
      </w:r>
      <w:r w:rsidRPr="00F156D6">
        <w:rPr>
          <w:i/>
          <w:sz w:val="18"/>
          <w:szCs w:val="18"/>
        </w:rPr>
        <w:t>(refer to Bulletin</w:t>
      </w:r>
      <w:r w:rsidR="00F156D6" w:rsidRPr="00F156D6">
        <w:rPr>
          <w:i/>
          <w:sz w:val="18"/>
          <w:szCs w:val="18"/>
        </w:rPr>
        <w:t>s</w:t>
      </w:r>
      <w:r w:rsidRPr="00F156D6">
        <w:rPr>
          <w:i/>
          <w:sz w:val="18"/>
          <w:szCs w:val="18"/>
        </w:rPr>
        <w:t xml:space="preserve"> 11-8, 10-11, 10-9</w:t>
      </w:r>
      <w:r w:rsidR="00F156D6" w:rsidRPr="00F156D6">
        <w:rPr>
          <w:i/>
          <w:sz w:val="18"/>
          <w:szCs w:val="18"/>
        </w:rPr>
        <w:t xml:space="preserve">, </w:t>
      </w:r>
      <w:proofErr w:type="spellStart"/>
      <w:r w:rsidR="00F156D6" w:rsidRPr="00F156D6">
        <w:rPr>
          <w:i/>
          <w:sz w:val="18"/>
          <w:szCs w:val="18"/>
        </w:rPr>
        <w:t>etc</w:t>
      </w:r>
      <w:proofErr w:type="spellEnd"/>
      <w:r w:rsidR="00F156D6" w:rsidRPr="00F156D6">
        <w:rPr>
          <w:i/>
          <w:sz w:val="18"/>
          <w:szCs w:val="18"/>
        </w:rPr>
        <w:t>)</w:t>
      </w:r>
    </w:p>
    <w:p w:rsidR="00F95DA3" w:rsidRPr="00B93EEC" w:rsidRDefault="00F95DA3" w:rsidP="00C872EA">
      <w:pPr>
        <w:rPr>
          <w:b/>
          <w:sz w:val="10"/>
          <w:szCs w:val="10"/>
        </w:rPr>
      </w:pPr>
    </w:p>
    <w:p w:rsidR="001021C5" w:rsidRPr="00906982" w:rsidRDefault="001021C5" w:rsidP="00C872EA">
      <w:pPr>
        <w:rPr>
          <w:sz w:val="22"/>
          <w:szCs w:val="22"/>
        </w:rPr>
      </w:pPr>
      <w:r w:rsidRPr="00906982">
        <w:rPr>
          <w:b/>
          <w:sz w:val="22"/>
          <w:szCs w:val="22"/>
        </w:rPr>
        <w:t>Acquisition</w:t>
      </w:r>
      <w:r w:rsidRPr="00906982">
        <w:rPr>
          <w:sz w:val="22"/>
          <w:szCs w:val="22"/>
        </w:rPr>
        <w:t xml:space="preserve">: The grantee is required to have a Property Disposition Plan approved by </w:t>
      </w:r>
      <w:r w:rsidR="00C00FEE">
        <w:rPr>
          <w:sz w:val="22"/>
          <w:szCs w:val="22"/>
        </w:rPr>
        <w:t>REDD</w:t>
      </w:r>
      <w:r w:rsidRPr="00906982">
        <w:rPr>
          <w:sz w:val="22"/>
          <w:szCs w:val="22"/>
        </w:rPr>
        <w:t xml:space="preserve"> </w:t>
      </w:r>
      <w:r w:rsidR="00C46ABD" w:rsidRPr="00906982">
        <w:rPr>
          <w:sz w:val="22"/>
          <w:szCs w:val="22"/>
        </w:rPr>
        <w:t xml:space="preserve">prior to closeout </w:t>
      </w:r>
      <w:r w:rsidRPr="00906982">
        <w:rPr>
          <w:sz w:val="22"/>
          <w:szCs w:val="22"/>
        </w:rPr>
        <w:t>if Acquisition is an approved grant activity.</w:t>
      </w:r>
    </w:p>
    <w:p w:rsidR="00C872EA" w:rsidRPr="007B13AE" w:rsidRDefault="00C872EA" w:rsidP="00C872EA">
      <w:pPr>
        <w:rPr>
          <w:sz w:val="16"/>
          <w:szCs w:val="16"/>
        </w:rPr>
      </w:pPr>
      <w:r w:rsidRPr="00906982">
        <w:rPr>
          <w:sz w:val="22"/>
          <w:szCs w:val="22"/>
        </w:rPr>
        <w:t xml:space="preserve"> </w:t>
      </w:r>
    </w:p>
    <w:p w:rsidR="000308EE" w:rsidRPr="00906982" w:rsidRDefault="000308EE">
      <w:pPr>
        <w:rPr>
          <w:sz w:val="22"/>
          <w:szCs w:val="22"/>
        </w:rPr>
      </w:pPr>
      <w:r w:rsidRPr="00906982">
        <w:rPr>
          <w:b/>
          <w:sz w:val="22"/>
          <w:szCs w:val="22"/>
        </w:rPr>
        <w:t>Clearance</w:t>
      </w:r>
      <w:r w:rsidRPr="00906982">
        <w:rPr>
          <w:sz w:val="22"/>
          <w:szCs w:val="22"/>
        </w:rPr>
        <w:t xml:space="preserve">: If a door-to-door move is allowed, the homeowner </w:t>
      </w:r>
      <w:r w:rsidR="00E71F54" w:rsidRPr="00906982">
        <w:rPr>
          <w:sz w:val="22"/>
          <w:szCs w:val="22"/>
        </w:rPr>
        <w:t>must</w:t>
      </w:r>
      <w:r w:rsidRPr="00906982">
        <w:rPr>
          <w:sz w:val="22"/>
          <w:szCs w:val="22"/>
        </w:rPr>
        <w:t xml:space="preserve"> acknowledge in writing the last date available to move personal items from the dilapidated structure. </w:t>
      </w:r>
      <w:r w:rsidR="007475DB" w:rsidRPr="00906982">
        <w:rPr>
          <w:sz w:val="22"/>
          <w:szCs w:val="22"/>
        </w:rPr>
        <w:t xml:space="preserve">The clearance contract </w:t>
      </w:r>
      <w:r w:rsidR="006F767F" w:rsidRPr="00906982">
        <w:rPr>
          <w:sz w:val="22"/>
          <w:szCs w:val="22"/>
        </w:rPr>
        <w:t>must</w:t>
      </w:r>
      <w:r w:rsidR="007475DB" w:rsidRPr="00906982">
        <w:rPr>
          <w:sz w:val="22"/>
          <w:szCs w:val="22"/>
        </w:rPr>
        <w:t xml:space="preserve"> have a specified date that clearance will take place.</w:t>
      </w:r>
    </w:p>
    <w:p w:rsidR="007475DB" w:rsidRDefault="007475DB">
      <w:pPr>
        <w:rPr>
          <w:sz w:val="16"/>
          <w:szCs w:val="16"/>
        </w:rPr>
      </w:pPr>
    </w:p>
    <w:p w:rsidR="00866A2B" w:rsidRPr="007B13AE" w:rsidRDefault="00866A2B">
      <w:pPr>
        <w:rPr>
          <w:sz w:val="16"/>
          <w:szCs w:val="16"/>
        </w:rPr>
      </w:pPr>
    </w:p>
    <w:p w:rsidR="007475DB" w:rsidRPr="00906982" w:rsidRDefault="007475DB">
      <w:pPr>
        <w:rPr>
          <w:sz w:val="22"/>
          <w:szCs w:val="22"/>
        </w:rPr>
      </w:pPr>
      <w:r w:rsidRPr="00906982">
        <w:rPr>
          <w:b/>
          <w:sz w:val="22"/>
          <w:szCs w:val="22"/>
        </w:rPr>
        <w:t>Relocation</w:t>
      </w:r>
      <w:r w:rsidRPr="00906982">
        <w:rPr>
          <w:sz w:val="22"/>
          <w:szCs w:val="22"/>
        </w:rPr>
        <w:t xml:space="preserve">: Relocations in the Scattered Site grants </w:t>
      </w:r>
      <w:r w:rsidR="00E71F54" w:rsidRPr="00906982">
        <w:rPr>
          <w:sz w:val="22"/>
          <w:szCs w:val="22"/>
        </w:rPr>
        <w:t>must</w:t>
      </w:r>
      <w:r w:rsidRPr="00906982">
        <w:rPr>
          <w:sz w:val="22"/>
          <w:szCs w:val="22"/>
        </w:rPr>
        <w:t xml:space="preserve"> conform to the grantees Anti-displacement and Relocation Policy and the </w:t>
      </w:r>
      <w:r w:rsidR="00E71F54" w:rsidRPr="00906982">
        <w:rPr>
          <w:sz w:val="22"/>
          <w:szCs w:val="22"/>
        </w:rPr>
        <w:t>Optional Coverage Relocation Plan. Payments to replacement dwelling vendors should be payable to the beneficiary and the vendor.</w:t>
      </w:r>
    </w:p>
    <w:p w:rsidR="00D4173E" w:rsidRPr="00866A2B" w:rsidRDefault="00D4173E">
      <w:pPr>
        <w:rPr>
          <w:sz w:val="22"/>
          <w:szCs w:val="22"/>
        </w:rPr>
      </w:pPr>
    </w:p>
    <w:p w:rsidR="00D4173E" w:rsidRPr="00906982" w:rsidRDefault="00D4173E">
      <w:pPr>
        <w:rPr>
          <w:sz w:val="22"/>
          <w:szCs w:val="22"/>
        </w:rPr>
      </w:pPr>
      <w:r w:rsidRPr="00906982">
        <w:rPr>
          <w:b/>
          <w:sz w:val="22"/>
          <w:szCs w:val="22"/>
        </w:rPr>
        <w:t xml:space="preserve">Reconstruction:  </w:t>
      </w:r>
      <w:r w:rsidRPr="00906982">
        <w:rPr>
          <w:sz w:val="22"/>
          <w:szCs w:val="22"/>
        </w:rPr>
        <w:t xml:space="preserve">This occurs when building a new unit on the same site after clearance of a dilapidated structure. Refer to </w:t>
      </w:r>
      <w:r w:rsidRPr="00B93EEC">
        <w:rPr>
          <w:sz w:val="22"/>
          <w:szCs w:val="22"/>
          <w:u w:val="single"/>
        </w:rPr>
        <w:t>Bulletin 1</w:t>
      </w:r>
      <w:r w:rsidR="00B93EEC" w:rsidRPr="00B93EEC">
        <w:rPr>
          <w:sz w:val="22"/>
          <w:szCs w:val="22"/>
          <w:u w:val="single"/>
        </w:rPr>
        <w:t>1</w:t>
      </w:r>
      <w:r w:rsidRPr="00B93EEC">
        <w:rPr>
          <w:sz w:val="22"/>
          <w:szCs w:val="22"/>
          <w:u w:val="single"/>
        </w:rPr>
        <w:t>-</w:t>
      </w:r>
      <w:r w:rsidR="00B93EEC" w:rsidRPr="00B93EEC">
        <w:rPr>
          <w:sz w:val="22"/>
          <w:szCs w:val="22"/>
          <w:u w:val="single"/>
        </w:rPr>
        <w:t>8</w:t>
      </w:r>
      <w:r w:rsidRPr="00906982">
        <w:rPr>
          <w:sz w:val="22"/>
          <w:szCs w:val="22"/>
        </w:rPr>
        <w:t xml:space="preserve"> for guidance.</w:t>
      </w:r>
    </w:p>
    <w:p w:rsidR="00BD7F16" w:rsidRPr="00866A2B" w:rsidRDefault="00BD7F16">
      <w:pPr>
        <w:rPr>
          <w:sz w:val="22"/>
          <w:szCs w:val="22"/>
        </w:rPr>
      </w:pPr>
    </w:p>
    <w:p w:rsidR="007838C4" w:rsidRPr="00906982" w:rsidRDefault="007838C4" w:rsidP="007838C4">
      <w:pPr>
        <w:rPr>
          <w:sz w:val="22"/>
          <w:szCs w:val="22"/>
        </w:rPr>
      </w:pPr>
      <w:r w:rsidRPr="00906982">
        <w:rPr>
          <w:b/>
          <w:bCs/>
          <w:sz w:val="22"/>
          <w:szCs w:val="22"/>
        </w:rPr>
        <w:t>Rehabilitation and L</w:t>
      </w:r>
      <w:r w:rsidR="00A9263E">
        <w:rPr>
          <w:b/>
          <w:bCs/>
          <w:sz w:val="22"/>
          <w:szCs w:val="22"/>
        </w:rPr>
        <w:t>ead-</w:t>
      </w:r>
      <w:r w:rsidRPr="00906982">
        <w:rPr>
          <w:b/>
          <w:bCs/>
          <w:sz w:val="22"/>
          <w:szCs w:val="22"/>
        </w:rPr>
        <w:t>B</w:t>
      </w:r>
      <w:r w:rsidR="00A9263E">
        <w:rPr>
          <w:b/>
          <w:bCs/>
          <w:sz w:val="22"/>
          <w:szCs w:val="22"/>
        </w:rPr>
        <w:t xml:space="preserve">ased </w:t>
      </w:r>
      <w:r w:rsidRPr="00906982">
        <w:rPr>
          <w:b/>
          <w:bCs/>
          <w:sz w:val="22"/>
          <w:szCs w:val="22"/>
        </w:rPr>
        <w:t>P</w:t>
      </w:r>
      <w:r w:rsidR="00A9263E">
        <w:rPr>
          <w:b/>
          <w:bCs/>
          <w:sz w:val="22"/>
          <w:szCs w:val="22"/>
        </w:rPr>
        <w:t>aint</w:t>
      </w:r>
      <w:r w:rsidR="00B93EEC">
        <w:rPr>
          <w:b/>
          <w:bCs/>
          <w:sz w:val="22"/>
          <w:szCs w:val="22"/>
        </w:rPr>
        <w:t>:</w:t>
      </w:r>
      <w:r w:rsidRPr="00906982">
        <w:rPr>
          <w:sz w:val="22"/>
          <w:szCs w:val="22"/>
        </w:rPr>
        <w:t xml:space="preserve">  </w:t>
      </w:r>
      <w:r w:rsidR="00B93EEC">
        <w:rPr>
          <w:sz w:val="22"/>
          <w:szCs w:val="22"/>
        </w:rPr>
        <w:t xml:space="preserve">Contact </w:t>
      </w:r>
      <w:r w:rsidR="00C00283">
        <w:rPr>
          <w:sz w:val="22"/>
          <w:szCs w:val="22"/>
        </w:rPr>
        <w:t xml:space="preserve">your Grant Representative </w:t>
      </w:r>
      <w:r w:rsidR="00B93EEC">
        <w:rPr>
          <w:sz w:val="22"/>
          <w:szCs w:val="22"/>
        </w:rPr>
        <w:t>with any questions.</w:t>
      </w:r>
    </w:p>
    <w:p w:rsidR="007838C4" w:rsidRPr="00866A2B" w:rsidRDefault="007838C4" w:rsidP="007838C4">
      <w:pPr>
        <w:rPr>
          <w:sz w:val="22"/>
          <w:szCs w:val="22"/>
        </w:rPr>
      </w:pPr>
    </w:p>
    <w:p w:rsidR="007838C4" w:rsidRPr="00906982" w:rsidRDefault="007838C4" w:rsidP="007838C4">
      <w:pPr>
        <w:rPr>
          <w:sz w:val="22"/>
          <w:szCs w:val="22"/>
        </w:rPr>
      </w:pPr>
      <w:r w:rsidRPr="00906982">
        <w:rPr>
          <w:sz w:val="22"/>
          <w:szCs w:val="22"/>
        </w:rPr>
        <w:t xml:space="preserve">Substantial Rehabilitation concurrence from </w:t>
      </w:r>
      <w:r w:rsidR="00C00FEE">
        <w:rPr>
          <w:sz w:val="22"/>
          <w:szCs w:val="22"/>
        </w:rPr>
        <w:t>REDD</w:t>
      </w:r>
      <w:r w:rsidRPr="00906982">
        <w:rPr>
          <w:sz w:val="22"/>
          <w:szCs w:val="22"/>
        </w:rPr>
        <w:t xml:space="preserve"> is required prior to commencing rehabilitation on a unit where the cost is </w:t>
      </w:r>
      <w:r w:rsidRPr="00A9263E">
        <w:rPr>
          <w:b/>
          <w:sz w:val="22"/>
          <w:szCs w:val="22"/>
        </w:rPr>
        <w:t>$40,000</w:t>
      </w:r>
      <w:r w:rsidRPr="00906982">
        <w:rPr>
          <w:sz w:val="22"/>
          <w:szCs w:val="22"/>
        </w:rPr>
        <w:t xml:space="preserve"> or greater or the cost per square foot is</w:t>
      </w:r>
      <w:r w:rsidRPr="00A9263E">
        <w:rPr>
          <w:b/>
          <w:sz w:val="22"/>
          <w:szCs w:val="22"/>
        </w:rPr>
        <w:t xml:space="preserve"> $38</w:t>
      </w:r>
      <w:r w:rsidRPr="00906982">
        <w:rPr>
          <w:sz w:val="22"/>
          <w:szCs w:val="22"/>
        </w:rPr>
        <w:t xml:space="preserve"> or greater. LBP is included in the cost. Make sure the building permit is in the rehabilitation file and the appropriate tax and license numbers are recorded. Identify the land cost when submitting substantial rehabilitation information.  Follow </w:t>
      </w:r>
      <w:r w:rsidRPr="00906982">
        <w:rPr>
          <w:sz w:val="22"/>
          <w:szCs w:val="22"/>
          <w:u w:val="single"/>
        </w:rPr>
        <w:t>Bulletin 1</w:t>
      </w:r>
      <w:r w:rsidR="00F156D6">
        <w:rPr>
          <w:sz w:val="22"/>
          <w:szCs w:val="22"/>
          <w:u w:val="single"/>
        </w:rPr>
        <w:t>1</w:t>
      </w:r>
      <w:r w:rsidRPr="00906982">
        <w:rPr>
          <w:sz w:val="22"/>
          <w:szCs w:val="22"/>
          <w:u w:val="single"/>
        </w:rPr>
        <w:t>-</w:t>
      </w:r>
      <w:r w:rsidR="00F156D6">
        <w:rPr>
          <w:sz w:val="22"/>
          <w:szCs w:val="22"/>
          <w:u w:val="single"/>
        </w:rPr>
        <w:t>8</w:t>
      </w:r>
      <w:r w:rsidRPr="00906982">
        <w:rPr>
          <w:sz w:val="22"/>
          <w:szCs w:val="22"/>
        </w:rPr>
        <w:t>. Housing Selection Committee &amp; Application guidelines; ranking; committee minutes reviewed at monitoring.</w:t>
      </w:r>
    </w:p>
    <w:p w:rsidR="007838C4" w:rsidRPr="00866A2B" w:rsidRDefault="007838C4">
      <w:pPr>
        <w:rPr>
          <w:sz w:val="22"/>
          <w:szCs w:val="22"/>
        </w:rPr>
      </w:pPr>
    </w:p>
    <w:p w:rsidR="00F95DA3" w:rsidRPr="00906982" w:rsidRDefault="00F95DA3" w:rsidP="00F95DA3">
      <w:pPr>
        <w:rPr>
          <w:sz w:val="22"/>
          <w:szCs w:val="22"/>
        </w:rPr>
      </w:pPr>
      <w:r w:rsidRPr="00906982">
        <w:rPr>
          <w:b/>
          <w:sz w:val="22"/>
          <w:szCs w:val="22"/>
        </w:rPr>
        <w:t>Work Write-ups</w:t>
      </w:r>
      <w:r w:rsidRPr="00906982">
        <w:rPr>
          <w:sz w:val="22"/>
          <w:szCs w:val="22"/>
        </w:rPr>
        <w:t xml:space="preserve">: A write-up is required for each dwelling rehabilitated in the C-1 project. A </w:t>
      </w:r>
      <w:r w:rsidRPr="00EB65E2">
        <w:rPr>
          <w:sz w:val="22"/>
          <w:szCs w:val="22"/>
          <w:u w:val="single"/>
        </w:rPr>
        <w:t>Scope of Work</w:t>
      </w:r>
      <w:r w:rsidRPr="00906982">
        <w:rPr>
          <w:sz w:val="22"/>
          <w:szCs w:val="22"/>
        </w:rPr>
        <w:t xml:space="preserve"> is required for each dwelling assisted in the L-1 project.</w:t>
      </w:r>
    </w:p>
    <w:p w:rsidR="00F95DA3" w:rsidRPr="00906982" w:rsidRDefault="00F95DA3" w:rsidP="00F95DA3">
      <w:pPr>
        <w:rPr>
          <w:sz w:val="22"/>
          <w:szCs w:val="22"/>
        </w:rPr>
      </w:pPr>
    </w:p>
    <w:p w:rsidR="00F95DA3" w:rsidRPr="00906982" w:rsidRDefault="00F95DA3" w:rsidP="00F95DA3">
      <w:pPr>
        <w:rPr>
          <w:sz w:val="22"/>
          <w:szCs w:val="22"/>
        </w:rPr>
      </w:pPr>
      <w:r w:rsidRPr="00906982">
        <w:rPr>
          <w:b/>
          <w:sz w:val="22"/>
          <w:szCs w:val="22"/>
        </w:rPr>
        <w:t>Change Orders</w:t>
      </w:r>
      <w:r w:rsidRPr="00906982">
        <w:rPr>
          <w:sz w:val="22"/>
          <w:szCs w:val="22"/>
        </w:rPr>
        <w:t>: Must be signed by the contractor, the dwelling owner and the grantee. Change orders should be limited to items that are unseen at the time of the work write-up and appear during the rehabilitation phase. Change orders for items that are readily seen during the initial assessment/work write-up may be considered a disallowed cost. (Example: doors, windows, cabinets, water heater, roof, etc.)</w:t>
      </w:r>
    </w:p>
    <w:p w:rsidR="00C00283" w:rsidRDefault="00C00283" w:rsidP="00E32563">
      <w:pPr>
        <w:tabs>
          <w:tab w:val="left" w:pos="720"/>
          <w:tab w:val="left" w:pos="1440"/>
          <w:tab w:val="left" w:pos="2520"/>
          <w:tab w:val="left" w:pos="5760"/>
        </w:tabs>
        <w:suppressAutoHyphens/>
        <w:overflowPunct w:val="0"/>
        <w:autoSpaceDE w:val="0"/>
        <w:autoSpaceDN w:val="0"/>
        <w:adjustRightInd w:val="0"/>
        <w:textAlignment w:val="baseline"/>
        <w:rPr>
          <w:b/>
          <w:sz w:val="22"/>
          <w:szCs w:val="22"/>
        </w:rPr>
      </w:pPr>
    </w:p>
    <w:p w:rsidR="00FC035A" w:rsidRPr="00906982" w:rsidRDefault="00FC035A" w:rsidP="00FC035A">
      <w:pPr>
        <w:tabs>
          <w:tab w:val="left" w:pos="720"/>
          <w:tab w:val="left" w:pos="1440"/>
          <w:tab w:val="left" w:pos="2520"/>
          <w:tab w:val="left" w:pos="5760"/>
        </w:tabs>
        <w:suppressAutoHyphens/>
        <w:overflowPunct w:val="0"/>
        <w:autoSpaceDE w:val="0"/>
        <w:autoSpaceDN w:val="0"/>
        <w:adjustRightInd w:val="0"/>
        <w:textAlignment w:val="baseline"/>
        <w:rPr>
          <w:sz w:val="22"/>
          <w:szCs w:val="22"/>
        </w:rPr>
      </w:pPr>
      <w:r w:rsidRPr="00906982">
        <w:rPr>
          <w:b/>
          <w:sz w:val="22"/>
          <w:szCs w:val="22"/>
        </w:rPr>
        <w:t>Note/Deed of Trust</w:t>
      </w:r>
      <w:r w:rsidRPr="00906982">
        <w:rPr>
          <w:sz w:val="22"/>
          <w:szCs w:val="22"/>
        </w:rPr>
        <w:t xml:space="preserve">:  </w:t>
      </w:r>
      <w:r w:rsidRPr="00906982">
        <w:rPr>
          <w:sz w:val="22"/>
          <w:szCs w:val="22"/>
          <w:u w:val="single"/>
        </w:rPr>
        <w:t>No</w:t>
      </w:r>
      <w:r w:rsidRPr="00906982">
        <w:rPr>
          <w:sz w:val="22"/>
          <w:szCs w:val="22"/>
        </w:rPr>
        <w:t xml:space="preserve"> CDBG loan, regardless of the type of loan it is, may be subordinated to </w:t>
      </w:r>
      <w:r w:rsidRPr="00906982">
        <w:rPr>
          <w:sz w:val="22"/>
          <w:szCs w:val="22"/>
          <w:u w:val="single"/>
        </w:rPr>
        <w:t xml:space="preserve">any other type of loan </w:t>
      </w:r>
      <w:r w:rsidRPr="00906982">
        <w:rPr>
          <w:i/>
          <w:sz w:val="22"/>
          <w:szCs w:val="22"/>
        </w:rPr>
        <w:t>other than a first mortgage that existed prior to the rehabilitation</w:t>
      </w:r>
      <w:r w:rsidRPr="00906982">
        <w:rPr>
          <w:sz w:val="22"/>
          <w:szCs w:val="22"/>
        </w:rPr>
        <w:t xml:space="preserve">.  </w:t>
      </w:r>
      <w:r w:rsidRPr="00906982">
        <w:rPr>
          <w:b/>
          <w:sz w:val="22"/>
          <w:szCs w:val="22"/>
        </w:rPr>
        <w:t>All</w:t>
      </w:r>
      <w:r w:rsidRPr="00906982">
        <w:rPr>
          <w:sz w:val="22"/>
          <w:szCs w:val="22"/>
        </w:rPr>
        <w:t xml:space="preserve"> CDBG rehabilitation loans must be secured with a note and deed of trust.  The deed of trust must be given to the Register of Deeds within 5 business days of signing the contract for rehabilitation and recorded within 60 calendar days (See Application guidelines and CDBG Bulletin 10-9).</w:t>
      </w:r>
    </w:p>
    <w:p w:rsidR="00FC035A" w:rsidRPr="00866A2B" w:rsidRDefault="00FC035A" w:rsidP="00FC035A">
      <w:pPr>
        <w:tabs>
          <w:tab w:val="left" w:pos="720"/>
          <w:tab w:val="left" w:pos="1440"/>
          <w:tab w:val="left" w:pos="2520"/>
          <w:tab w:val="left" w:pos="5760"/>
        </w:tabs>
        <w:suppressAutoHyphens/>
        <w:overflowPunct w:val="0"/>
        <w:autoSpaceDE w:val="0"/>
        <w:autoSpaceDN w:val="0"/>
        <w:adjustRightInd w:val="0"/>
        <w:textAlignment w:val="baseline"/>
        <w:rPr>
          <w:sz w:val="22"/>
          <w:szCs w:val="22"/>
        </w:rPr>
      </w:pPr>
    </w:p>
    <w:p w:rsidR="00FC035A" w:rsidRPr="00906982" w:rsidRDefault="00FC035A" w:rsidP="00FC035A">
      <w:pPr>
        <w:rPr>
          <w:sz w:val="22"/>
          <w:szCs w:val="22"/>
        </w:rPr>
      </w:pPr>
      <w:r w:rsidRPr="00906982">
        <w:rPr>
          <w:b/>
          <w:sz w:val="22"/>
          <w:szCs w:val="22"/>
        </w:rPr>
        <w:t xml:space="preserve">IFHU </w:t>
      </w:r>
      <w:r w:rsidR="00AD007E">
        <w:rPr>
          <w:b/>
          <w:sz w:val="22"/>
          <w:szCs w:val="22"/>
        </w:rPr>
        <w:t>Activities</w:t>
      </w:r>
      <w:r w:rsidRPr="00906982">
        <w:rPr>
          <w:sz w:val="22"/>
          <w:szCs w:val="22"/>
        </w:rPr>
        <w:t>: A hookup case file checklist and a Homeowners Acceptance of Work are required for each address.</w:t>
      </w:r>
    </w:p>
    <w:p w:rsidR="00C00283" w:rsidRDefault="00C00283" w:rsidP="00C00283">
      <w:pPr>
        <w:rPr>
          <w:sz w:val="22"/>
          <w:szCs w:val="22"/>
        </w:rPr>
      </w:pPr>
    </w:p>
    <w:p w:rsidR="00C00283" w:rsidRDefault="00C00283" w:rsidP="00C00283">
      <w:pPr>
        <w:rPr>
          <w:sz w:val="22"/>
          <w:szCs w:val="22"/>
        </w:rPr>
      </w:pPr>
    </w:p>
    <w:p w:rsidR="001B7508" w:rsidRDefault="001B7508" w:rsidP="00C00283">
      <w:pPr>
        <w:rPr>
          <w:sz w:val="22"/>
          <w:szCs w:val="22"/>
        </w:rPr>
      </w:pPr>
    </w:p>
    <w:p w:rsidR="001B7508" w:rsidRDefault="001B7508" w:rsidP="00C00283">
      <w:pPr>
        <w:rPr>
          <w:sz w:val="22"/>
          <w:szCs w:val="22"/>
        </w:rPr>
      </w:pPr>
    </w:p>
    <w:p w:rsidR="001B7508" w:rsidRDefault="001B7508" w:rsidP="00C00283">
      <w:pPr>
        <w:rPr>
          <w:sz w:val="22"/>
          <w:szCs w:val="22"/>
        </w:rPr>
      </w:pPr>
    </w:p>
    <w:p w:rsidR="00C00283" w:rsidRPr="001E3893" w:rsidRDefault="00C00283" w:rsidP="00C00283">
      <w:pPr>
        <w:rPr>
          <w:sz w:val="16"/>
          <w:szCs w:val="16"/>
        </w:rPr>
      </w:pPr>
    </w:p>
    <w:p w:rsidR="00C00283" w:rsidRPr="000E3214" w:rsidRDefault="00C00283" w:rsidP="00C00283">
      <w:pPr>
        <w:rPr>
          <w:sz w:val="20"/>
          <w:szCs w:val="20"/>
        </w:rPr>
      </w:pPr>
      <w:r w:rsidRPr="000E3214">
        <w:rPr>
          <w:sz w:val="20"/>
          <w:szCs w:val="20"/>
        </w:rPr>
        <w:t>______________________________</w:t>
      </w:r>
      <w:r w:rsidRPr="000E3214">
        <w:rPr>
          <w:sz w:val="20"/>
          <w:szCs w:val="20"/>
        </w:rPr>
        <w:tab/>
        <w:t>______________</w:t>
      </w:r>
      <w:r w:rsidRPr="000E3214">
        <w:rPr>
          <w:sz w:val="20"/>
          <w:szCs w:val="20"/>
        </w:rPr>
        <w:tab/>
        <w:t xml:space="preserve">              _____________________________ </w:t>
      </w:r>
    </w:p>
    <w:p w:rsidR="00C00283" w:rsidRPr="001E3893" w:rsidRDefault="00C00283" w:rsidP="00C00283">
      <w:pPr>
        <w:rPr>
          <w:sz w:val="20"/>
          <w:szCs w:val="20"/>
        </w:rPr>
      </w:pPr>
      <w:r w:rsidRPr="000E3214">
        <w:rPr>
          <w:sz w:val="20"/>
          <w:szCs w:val="20"/>
        </w:rPr>
        <w:t>CDBG Representative</w:t>
      </w:r>
      <w:r w:rsidRPr="000E3214">
        <w:rPr>
          <w:sz w:val="20"/>
          <w:szCs w:val="20"/>
        </w:rPr>
        <w:tab/>
      </w:r>
      <w:r w:rsidRPr="000E3214">
        <w:rPr>
          <w:sz w:val="20"/>
          <w:szCs w:val="20"/>
        </w:rPr>
        <w:tab/>
        <w:t xml:space="preserve">         </w:t>
      </w:r>
      <w:r w:rsidRPr="000E3214">
        <w:rPr>
          <w:sz w:val="20"/>
          <w:szCs w:val="20"/>
        </w:rPr>
        <w:tab/>
        <w:t>Date</w:t>
      </w:r>
      <w:r w:rsidRPr="000E3214">
        <w:rPr>
          <w:sz w:val="20"/>
          <w:szCs w:val="20"/>
        </w:rPr>
        <w:tab/>
      </w:r>
      <w:r w:rsidRPr="000E3214">
        <w:rPr>
          <w:sz w:val="20"/>
          <w:szCs w:val="20"/>
        </w:rPr>
        <w:tab/>
      </w:r>
      <w:r w:rsidRPr="000E3214">
        <w:rPr>
          <w:sz w:val="20"/>
          <w:szCs w:val="20"/>
        </w:rPr>
        <w:tab/>
        <w:t>Grantee Representative</w:t>
      </w:r>
    </w:p>
    <w:p w:rsidR="00C00283" w:rsidRPr="00906982" w:rsidRDefault="00C00283" w:rsidP="00C00283">
      <w:pPr>
        <w:rPr>
          <w:sz w:val="22"/>
          <w:szCs w:val="22"/>
        </w:rPr>
      </w:pPr>
    </w:p>
    <w:p w:rsidR="0081740F" w:rsidRDefault="0081740F">
      <w:pPr>
        <w:rPr>
          <w:b/>
          <w:sz w:val="22"/>
          <w:szCs w:val="22"/>
        </w:rPr>
      </w:pPr>
    </w:p>
    <w:p w:rsidR="001B7508" w:rsidRPr="00866A2B" w:rsidRDefault="001B7508">
      <w:pPr>
        <w:rPr>
          <w:sz w:val="22"/>
          <w:szCs w:val="22"/>
        </w:rPr>
      </w:pPr>
    </w:p>
    <w:p w:rsidR="005A6F93" w:rsidRPr="00906982" w:rsidRDefault="005A6F93" w:rsidP="005A6F93">
      <w:pPr>
        <w:rPr>
          <w:sz w:val="22"/>
          <w:szCs w:val="22"/>
        </w:rPr>
      </w:pPr>
      <w:r w:rsidRPr="00906982">
        <w:rPr>
          <w:b/>
          <w:sz w:val="22"/>
          <w:szCs w:val="22"/>
        </w:rPr>
        <w:t>Basic References</w:t>
      </w:r>
      <w:r w:rsidRPr="00906982">
        <w:rPr>
          <w:sz w:val="22"/>
          <w:szCs w:val="22"/>
        </w:rPr>
        <w:t>: North Carolina Community Development Block Grant Regulations 4 NCAC 19L</w:t>
      </w:r>
      <w:r w:rsidR="00186883">
        <w:rPr>
          <w:sz w:val="22"/>
          <w:szCs w:val="22"/>
        </w:rPr>
        <w:t xml:space="preserve"> </w:t>
      </w:r>
      <w:r w:rsidR="00186883" w:rsidRPr="00186883">
        <w:rPr>
          <w:sz w:val="22"/>
          <w:szCs w:val="22"/>
        </w:rPr>
        <w:t>http://reports.oah.state.nc.us/ncac.asp</w:t>
      </w:r>
      <w:r w:rsidR="00186883" w:rsidRPr="00906982">
        <w:rPr>
          <w:sz w:val="22"/>
          <w:szCs w:val="22"/>
        </w:rPr>
        <w:t xml:space="preserve">; </w:t>
      </w:r>
      <w:r w:rsidR="00186883">
        <w:rPr>
          <w:sz w:val="22"/>
          <w:szCs w:val="22"/>
        </w:rPr>
        <w:t xml:space="preserve">Contact REDD for </w:t>
      </w:r>
      <w:r w:rsidRPr="00906982">
        <w:rPr>
          <w:sz w:val="22"/>
          <w:szCs w:val="22"/>
        </w:rPr>
        <w:t>CDBG Bulletins</w:t>
      </w:r>
      <w:r w:rsidR="00CF4BE3" w:rsidRPr="00906982">
        <w:rPr>
          <w:sz w:val="22"/>
          <w:szCs w:val="22"/>
        </w:rPr>
        <w:t xml:space="preserve"> </w:t>
      </w:r>
      <w:r w:rsidR="00C57CA2" w:rsidRPr="00906982">
        <w:rPr>
          <w:sz w:val="22"/>
          <w:szCs w:val="22"/>
        </w:rPr>
        <w:t xml:space="preserve">and the </w:t>
      </w:r>
      <w:r w:rsidR="00C57CA2" w:rsidRPr="00906982">
        <w:rPr>
          <w:sz w:val="22"/>
          <w:szCs w:val="22"/>
          <w:u w:val="single"/>
        </w:rPr>
        <w:t>Application</w:t>
      </w:r>
      <w:r w:rsidRPr="00906982">
        <w:rPr>
          <w:sz w:val="22"/>
          <w:szCs w:val="22"/>
        </w:rPr>
        <w:t>.</w:t>
      </w:r>
    </w:p>
    <w:p w:rsidR="005A6F93" w:rsidRPr="00866A2B" w:rsidRDefault="005A6F93">
      <w:pPr>
        <w:rPr>
          <w:sz w:val="22"/>
          <w:szCs w:val="22"/>
        </w:rPr>
      </w:pPr>
    </w:p>
    <w:p w:rsidR="008F5882" w:rsidRPr="00906982" w:rsidRDefault="00C00FEE" w:rsidP="008F5882">
      <w:pPr>
        <w:rPr>
          <w:color w:val="0000FF"/>
          <w:sz w:val="22"/>
          <w:szCs w:val="22"/>
        </w:rPr>
      </w:pPr>
      <w:r>
        <w:rPr>
          <w:b/>
          <w:bCs/>
          <w:sz w:val="22"/>
          <w:szCs w:val="22"/>
        </w:rPr>
        <w:t>REDD</w:t>
      </w:r>
      <w:r w:rsidR="008F5882" w:rsidRPr="00906982">
        <w:rPr>
          <w:b/>
          <w:bCs/>
          <w:sz w:val="22"/>
          <w:szCs w:val="22"/>
        </w:rPr>
        <w:t xml:space="preserve"> Website</w:t>
      </w:r>
      <w:r w:rsidR="008F5882" w:rsidRPr="00906982">
        <w:rPr>
          <w:sz w:val="22"/>
          <w:szCs w:val="22"/>
        </w:rPr>
        <w:t xml:space="preserve">:  </w:t>
      </w:r>
      <w:hyperlink r:id="rId18" w:history="1">
        <w:r w:rsidR="00186883" w:rsidRPr="000325D1">
          <w:rPr>
            <w:rStyle w:val="Hyperlink"/>
            <w:sz w:val="22"/>
            <w:szCs w:val="22"/>
          </w:rPr>
          <w:t>http://www.nccommerce.com</w:t>
        </w:r>
      </w:hyperlink>
      <w:r w:rsidR="00C00283">
        <w:rPr>
          <w:color w:val="0000FF"/>
          <w:sz w:val="22"/>
          <w:szCs w:val="22"/>
        </w:rPr>
        <w:t xml:space="preserve"> </w:t>
      </w:r>
    </w:p>
    <w:p w:rsidR="008F5882" w:rsidRPr="00906982" w:rsidRDefault="008F5882" w:rsidP="008F5882">
      <w:pPr>
        <w:rPr>
          <w:sz w:val="22"/>
          <w:szCs w:val="22"/>
        </w:rPr>
      </w:pPr>
      <w:r w:rsidRPr="00906982">
        <w:rPr>
          <w:sz w:val="22"/>
          <w:szCs w:val="22"/>
        </w:rPr>
        <w:t xml:space="preserve">Community Development Block Grant (CDBG) Information: </w:t>
      </w:r>
      <w:hyperlink r:id="rId19" w:history="1">
        <w:r w:rsidR="00186883" w:rsidRPr="000325D1">
          <w:rPr>
            <w:rStyle w:val="Hyperlink"/>
            <w:sz w:val="22"/>
            <w:szCs w:val="22"/>
          </w:rPr>
          <w:t>http://www.nccommerce.com</w:t>
        </w:r>
      </w:hyperlink>
      <w:r w:rsidR="00C00283">
        <w:rPr>
          <w:sz w:val="22"/>
          <w:szCs w:val="22"/>
        </w:rPr>
        <w:t xml:space="preserve"> </w:t>
      </w:r>
    </w:p>
    <w:p w:rsidR="008F5882" w:rsidRDefault="001E3893">
      <w:pPr>
        <w:rPr>
          <w:sz w:val="22"/>
          <w:szCs w:val="22"/>
        </w:rPr>
      </w:pPr>
      <w:r w:rsidRPr="00906982">
        <w:rPr>
          <w:sz w:val="22"/>
          <w:szCs w:val="22"/>
        </w:rPr>
        <w:t>Telephone 919-</w:t>
      </w:r>
      <w:r w:rsidR="00186883">
        <w:rPr>
          <w:sz w:val="22"/>
          <w:szCs w:val="22"/>
        </w:rPr>
        <w:t>814-4600</w:t>
      </w:r>
    </w:p>
    <w:p w:rsidR="001E3893" w:rsidRPr="00866A2B" w:rsidRDefault="001E3893">
      <w:pPr>
        <w:rPr>
          <w:sz w:val="22"/>
          <w:szCs w:val="22"/>
        </w:rPr>
      </w:pPr>
    </w:p>
    <w:p w:rsidR="00F95DA3" w:rsidRPr="00906982" w:rsidRDefault="00F95DA3" w:rsidP="00F95DA3">
      <w:pPr>
        <w:rPr>
          <w:sz w:val="22"/>
          <w:szCs w:val="22"/>
        </w:rPr>
      </w:pPr>
      <w:r w:rsidRPr="00906982">
        <w:rPr>
          <w:b/>
          <w:bCs/>
          <w:sz w:val="22"/>
          <w:szCs w:val="22"/>
        </w:rPr>
        <w:t>Monitoring Visits</w:t>
      </w:r>
      <w:r w:rsidR="00EB65E2">
        <w:rPr>
          <w:b/>
          <w:bCs/>
          <w:sz w:val="22"/>
          <w:szCs w:val="22"/>
        </w:rPr>
        <w:t>:</w:t>
      </w:r>
      <w:r w:rsidRPr="00906982">
        <w:rPr>
          <w:sz w:val="22"/>
          <w:szCs w:val="22"/>
        </w:rPr>
        <w:t xml:space="preserve"> </w:t>
      </w:r>
      <w:r w:rsidR="00EB65E2">
        <w:rPr>
          <w:sz w:val="22"/>
          <w:szCs w:val="22"/>
        </w:rPr>
        <w:t xml:space="preserve"> </w:t>
      </w:r>
      <w:r w:rsidRPr="00906982">
        <w:rPr>
          <w:sz w:val="22"/>
          <w:szCs w:val="22"/>
        </w:rPr>
        <w:t xml:space="preserve">A local government staff person or elected official is requested to accompany the grant monitor to the project area during monitoring visits. </w:t>
      </w:r>
    </w:p>
    <w:p w:rsidR="00F95DA3" w:rsidRDefault="00F95DA3" w:rsidP="00F95DA3">
      <w:pPr>
        <w:rPr>
          <w:sz w:val="22"/>
          <w:szCs w:val="22"/>
        </w:rPr>
      </w:pPr>
    </w:p>
    <w:p w:rsidR="00EB65E2" w:rsidRDefault="00EB65E2" w:rsidP="00F95DA3">
      <w:pPr>
        <w:pStyle w:val="Heading3"/>
        <w:rPr>
          <w:rFonts w:ascii="Times New Roman" w:hAnsi="Times New Roman"/>
          <w:szCs w:val="22"/>
        </w:rPr>
      </w:pPr>
      <w:r>
        <w:rPr>
          <w:rFonts w:ascii="Times New Roman" w:hAnsi="Times New Roman"/>
          <w:szCs w:val="22"/>
        </w:rPr>
        <w:t>Grant Closeout</w:t>
      </w:r>
    </w:p>
    <w:p w:rsidR="00EB65E2" w:rsidRPr="00EB65E2" w:rsidRDefault="00EB65E2" w:rsidP="00EB65E2">
      <w:pPr>
        <w:rPr>
          <w:sz w:val="10"/>
          <w:szCs w:val="10"/>
        </w:rPr>
      </w:pPr>
    </w:p>
    <w:p w:rsidR="00C66BBC" w:rsidRDefault="00C66BBC" w:rsidP="00F95DA3">
      <w:pPr>
        <w:pStyle w:val="Heading3"/>
        <w:rPr>
          <w:rFonts w:ascii="Times New Roman" w:hAnsi="Times New Roman"/>
          <w:szCs w:val="22"/>
        </w:rPr>
      </w:pPr>
    </w:p>
    <w:p w:rsidR="00F95DA3" w:rsidRPr="00EB65E2" w:rsidRDefault="00F95DA3" w:rsidP="00F95DA3">
      <w:pPr>
        <w:pStyle w:val="Heading3"/>
        <w:rPr>
          <w:rFonts w:ascii="Times New Roman" w:hAnsi="Times New Roman"/>
          <w:b w:val="0"/>
          <w:szCs w:val="22"/>
        </w:rPr>
      </w:pPr>
      <w:r w:rsidRPr="00EB65E2">
        <w:rPr>
          <w:rFonts w:ascii="Times New Roman" w:hAnsi="Times New Roman"/>
          <w:szCs w:val="22"/>
        </w:rPr>
        <w:t>Closeout</w:t>
      </w:r>
      <w:r w:rsidR="00EB65E2" w:rsidRPr="00EB65E2">
        <w:rPr>
          <w:rFonts w:ascii="Times New Roman" w:hAnsi="Times New Roman"/>
          <w:b w:val="0"/>
          <w:szCs w:val="22"/>
        </w:rPr>
        <w:t xml:space="preserve"> is due on</w:t>
      </w:r>
      <w:r w:rsidRPr="00EB65E2">
        <w:rPr>
          <w:rFonts w:ascii="Times New Roman" w:hAnsi="Times New Roman"/>
          <w:b w:val="0"/>
          <w:szCs w:val="22"/>
        </w:rPr>
        <w:t xml:space="preserve"> ____________________ or </w:t>
      </w:r>
      <w:r w:rsidR="00EB65E2" w:rsidRPr="00EB65E2">
        <w:rPr>
          <w:rFonts w:ascii="Times New Roman" w:hAnsi="Times New Roman"/>
          <w:b w:val="0"/>
          <w:szCs w:val="22"/>
        </w:rPr>
        <w:t>within</w:t>
      </w:r>
      <w:r w:rsidRPr="00EB65E2">
        <w:rPr>
          <w:rFonts w:ascii="Times New Roman" w:hAnsi="Times New Roman"/>
          <w:b w:val="0"/>
          <w:szCs w:val="22"/>
        </w:rPr>
        <w:t xml:space="preserve"> </w:t>
      </w:r>
      <w:r w:rsidRPr="00EB65E2">
        <w:rPr>
          <w:rFonts w:ascii="Times New Roman" w:hAnsi="Times New Roman"/>
          <w:szCs w:val="22"/>
        </w:rPr>
        <w:t>90 days</w:t>
      </w:r>
      <w:r w:rsidRPr="00EB65E2">
        <w:rPr>
          <w:rFonts w:ascii="Times New Roman" w:hAnsi="Times New Roman"/>
          <w:b w:val="0"/>
          <w:szCs w:val="22"/>
        </w:rPr>
        <w:t xml:space="preserve"> of final requisition </w:t>
      </w:r>
      <w:r w:rsidR="00EB65E2" w:rsidRPr="00EB65E2">
        <w:rPr>
          <w:rFonts w:ascii="Times New Roman" w:hAnsi="Times New Roman"/>
          <w:b w:val="0"/>
          <w:szCs w:val="22"/>
        </w:rPr>
        <w:t>(</w:t>
      </w:r>
      <w:r w:rsidRPr="00EB65E2">
        <w:rPr>
          <w:rFonts w:ascii="Times New Roman" w:hAnsi="Times New Roman"/>
          <w:b w:val="0"/>
          <w:szCs w:val="22"/>
        </w:rPr>
        <w:t>if earlier than C</w:t>
      </w:r>
      <w:r w:rsidR="00EB65E2" w:rsidRPr="00EB65E2">
        <w:rPr>
          <w:rFonts w:ascii="Times New Roman" w:hAnsi="Times New Roman"/>
          <w:b w:val="0"/>
          <w:szCs w:val="22"/>
        </w:rPr>
        <w:t>loseout</w:t>
      </w:r>
      <w:r w:rsidRPr="00EB65E2">
        <w:rPr>
          <w:rFonts w:ascii="Times New Roman" w:hAnsi="Times New Roman"/>
          <w:b w:val="0"/>
          <w:szCs w:val="22"/>
        </w:rPr>
        <w:t xml:space="preserve"> date</w:t>
      </w:r>
      <w:r w:rsidR="00EB65E2" w:rsidRPr="00EB65E2">
        <w:rPr>
          <w:rFonts w:ascii="Times New Roman" w:hAnsi="Times New Roman"/>
          <w:b w:val="0"/>
          <w:szCs w:val="22"/>
        </w:rPr>
        <w:t>), if applicable.</w:t>
      </w:r>
    </w:p>
    <w:p w:rsidR="00F95DA3" w:rsidRPr="00906982" w:rsidRDefault="00F95DA3" w:rsidP="00F95DA3">
      <w:pPr>
        <w:rPr>
          <w:sz w:val="22"/>
          <w:szCs w:val="22"/>
        </w:rPr>
      </w:pPr>
    </w:p>
    <w:p w:rsidR="00F95DA3" w:rsidRPr="00906982" w:rsidRDefault="00F95DA3" w:rsidP="00F95DA3">
      <w:pPr>
        <w:rPr>
          <w:sz w:val="22"/>
          <w:szCs w:val="22"/>
        </w:rPr>
      </w:pPr>
      <w:r w:rsidRPr="00906982">
        <w:rPr>
          <w:sz w:val="22"/>
          <w:szCs w:val="22"/>
        </w:rPr>
        <w:t xml:space="preserve">Submit the </w:t>
      </w:r>
      <w:r w:rsidRPr="00906982">
        <w:rPr>
          <w:sz w:val="22"/>
          <w:szCs w:val="22"/>
          <w:u w:val="single"/>
        </w:rPr>
        <w:t>complete</w:t>
      </w:r>
      <w:r>
        <w:rPr>
          <w:sz w:val="22"/>
          <w:szCs w:val="22"/>
          <w:u w:val="single"/>
        </w:rPr>
        <w:t>d</w:t>
      </w:r>
      <w:r w:rsidRPr="00906982">
        <w:rPr>
          <w:sz w:val="22"/>
          <w:szCs w:val="22"/>
          <w:u w:val="single"/>
        </w:rPr>
        <w:t xml:space="preserve"> packet </w:t>
      </w:r>
      <w:r>
        <w:rPr>
          <w:sz w:val="22"/>
          <w:szCs w:val="22"/>
          <w:u w:val="single"/>
        </w:rPr>
        <w:t xml:space="preserve">(originals only) </w:t>
      </w:r>
      <w:r w:rsidRPr="00906982">
        <w:rPr>
          <w:sz w:val="22"/>
          <w:szCs w:val="22"/>
          <w:u w:val="single"/>
        </w:rPr>
        <w:t>containing the following</w:t>
      </w:r>
      <w:r w:rsidRPr="00A9263E">
        <w:rPr>
          <w:sz w:val="22"/>
          <w:szCs w:val="22"/>
        </w:rPr>
        <w:t xml:space="preserve">, </w:t>
      </w:r>
      <w:r>
        <w:rPr>
          <w:sz w:val="22"/>
          <w:szCs w:val="22"/>
        </w:rPr>
        <w:t xml:space="preserve">free from </w:t>
      </w:r>
      <w:r w:rsidRPr="00A9263E">
        <w:rPr>
          <w:sz w:val="22"/>
          <w:szCs w:val="22"/>
        </w:rPr>
        <w:t>error</w:t>
      </w:r>
      <w:r>
        <w:rPr>
          <w:sz w:val="22"/>
          <w:szCs w:val="22"/>
        </w:rPr>
        <w:t>s</w:t>
      </w:r>
      <w:r w:rsidRPr="00A9263E">
        <w:rPr>
          <w:sz w:val="22"/>
          <w:szCs w:val="22"/>
        </w:rPr>
        <w:t xml:space="preserve"> (</w:t>
      </w:r>
      <w:r w:rsidRPr="00906982">
        <w:rPr>
          <w:sz w:val="22"/>
          <w:szCs w:val="22"/>
        </w:rPr>
        <w:t>without w</w:t>
      </w:r>
      <w:r>
        <w:rPr>
          <w:sz w:val="22"/>
          <w:szCs w:val="22"/>
        </w:rPr>
        <w:t>h</w:t>
      </w:r>
      <w:r w:rsidRPr="00906982">
        <w:rPr>
          <w:sz w:val="22"/>
          <w:szCs w:val="22"/>
        </w:rPr>
        <w:t>ite-out, strikeovers, or other corrections</w:t>
      </w:r>
      <w:r>
        <w:rPr>
          <w:sz w:val="22"/>
          <w:szCs w:val="22"/>
        </w:rPr>
        <w:t>)</w:t>
      </w:r>
      <w:r w:rsidRPr="00906982">
        <w:rPr>
          <w:sz w:val="22"/>
          <w:szCs w:val="22"/>
        </w:rPr>
        <w:t>:</w:t>
      </w:r>
    </w:p>
    <w:p w:rsidR="00F95DA3" w:rsidRPr="00906982" w:rsidRDefault="00F95DA3" w:rsidP="00C00283">
      <w:pPr>
        <w:numPr>
          <w:ilvl w:val="0"/>
          <w:numId w:val="2"/>
        </w:numPr>
        <w:rPr>
          <w:sz w:val="22"/>
          <w:szCs w:val="22"/>
        </w:rPr>
      </w:pPr>
      <w:r w:rsidRPr="00906982">
        <w:rPr>
          <w:sz w:val="22"/>
          <w:szCs w:val="22"/>
        </w:rPr>
        <w:t>Cover letter for documents submitted; describe anticipated program income or de-obligated funds</w:t>
      </w:r>
    </w:p>
    <w:p w:rsidR="00F95DA3" w:rsidRPr="00906982" w:rsidRDefault="00F95DA3" w:rsidP="00C00283">
      <w:pPr>
        <w:numPr>
          <w:ilvl w:val="0"/>
          <w:numId w:val="2"/>
        </w:numPr>
        <w:rPr>
          <w:sz w:val="22"/>
          <w:szCs w:val="22"/>
        </w:rPr>
      </w:pPr>
      <w:r w:rsidRPr="00906982">
        <w:rPr>
          <w:sz w:val="22"/>
          <w:szCs w:val="22"/>
        </w:rPr>
        <w:t>Copy of Approved/Adopted minutes from the closeout public hearing or certification signed by CEO</w:t>
      </w:r>
    </w:p>
    <w:p w:rsidR="00F95DA3" w:rsidRPr="00906982" w:rsidRDefault="00F95DA3" w:rsidP="00C00283">
      <w:pPr>
        <w:numPr>
          <w:ilvl w:val="0"/>
          <w:numId w:val="2"/>
        </w:numPr>
        <w:rPr>
          <w:sz w:val="22"/>
          <w:szCs w:val="22"/>
        </w:rPr>
      </w:pPr>
      <w:r w:rsidRPr="00906982">
        <w:rPr>
          <w:sz w:val="22"/>
          <w:szCs w:val="22"/>
        </w:rPr>
        <w:t>Affidavit of publication of the closeout public hearing advertisement</w:t>
      </w:r>
    </w:p>
    <w:p w:rsidR="00F95DA3" w:rsidRPr="00906982" w:rsidRDefault="00F95DA3" w:rsidP="00C00283">
      <w:pPr>
        <w:numPr>
          <w:ilvl w:val="0"/>
          <w:numId w:val="2"/>
        </w:numPr>
        <w:rPr>
          <w:sz w:val="22"/>
          <w:szCs w:val="22"/>
        </w:rPr>
      </w:pPr>
      <w:r w:rsidRPr="00906982">
        <w:rPr>
          <w:sz w:val="22"/>
          <w:szCs w:val="22"/>
        </w:rPr>
        <w:t>Copy of closeout public hearing advertisement from newspaper</w:t>
      </w:r>
    </w:p>
    <w:p w:rsidR="00B13E9C" w:rsidRDefault="00F95DA3" w:rsidP="00C00283">
      <w:pPr>
        <w:numPr>
          <w:ilvl w:val="0"/>
          <w:numId w:val="2"/>
        </w:numPr>
        <w:rPr>
          <w:sz w:val="22"/>
          <w:szCs w:val="22"/>
        </w:rPr>
      </w:pPr>
      <w:r w:rsidRPr="00906982">
        <w:rPr>
          <w:sz w:val="22"/>
          <w:szCs w:val="22"/>
        </w:rPr>
        <w:t xml:space="preserve">Certificate of Completion </w:t>
      </w:r>
    </w:p>
    <w:p w:rsidR="00F95DA3" w:rsidRPr="00906982" w:rsidRDefault="00F95DA3" w:rsidP="00C00283">
      <w:pPr>
        <w:numPr>
          <w:ilvl w:val="0"/>
          <w:numId w:val="2"/>
        </w:numPr>
        <w:rPr>
          <w:sz w:val="22"/>
          <w:szCs w:val="22"/>
        </w:rPr>
      </w:pPr>
      <w:r w:rsidRPr="00906982">
        <w:rPr>
          <w:sz w:val="22"/>
          <w:szCs w:val="22"/>
        </w:rPr>
        <w:t>Applicable Accomplishments and Beneficiaries Form(s)</w:t>
      </w:r>
    </w:p>
    <w:p w:rsidR="00F95DA3" w:rsidRPr="00906982" w:rsidRDefault="00F95DA3" w:rsidP="00C00283">
      <w:pPr>
        <w:numPr>
          <w:ilvl w:val="0"/>
          <w:numId w:val="2"/>
        </w:numPr>
        <w:rPr>
          <w:sz w:val="22"/>
          <w:szCs w:val="22"/>
        </w:rPr>
      </w:pPr>
      <w:r w:rsidRPr="00906982">
        <w:rPr>
          <w:sz w:val="22"/>
          <w:szCs w:val="22"/>
        </w:rPr>
        <w:t xml:space="preserve">Property Disposition Form </w:t>
      </w:r>
    </w:p>
    <w:p w:rsidR="00F95DA3" w:rsidRPr="00906982" w:rsidRDefault="00F95DA3" w:rsidP="00C00283">
      <w:pPr>
        <w:numPr>
          <w:ilvl w:val="0"/>
          <w:numId w:val="2"/>
        </w:numPr>
        <w:rPr>
          <w:sz w:val="22"/>
          <w:szCs w:val="22"/>
        </w:rPr>
      </w:pPr>
      <w:r w:rsidRPr="00906982">
        <w:rPr>
          <w:sz w:val="22"/>
          <w:szCs w:val="22"/>
        </w:rPr>
        <w:t>Use of Non-ED Program Income Form</w:t>
      </w:r>
    </w:p>
    <w:p w:rsidR="00F95DA3" w:rsidRPr="00906982" w:rsidRDefault="00F95DA3" w:rsidP="00C00283">
      <w:pPr>
        <w:numPr>
          <w:ilvl w:val="0"/>
          <w:numId w:val="2"/>
        </w:numPr>
        <w:rPr>
          <w:sz w:val="22"/>
          <w:szCs w:val="22"/>
        </w:rPr>
      </w:pPr>
      <w:r w:rsidRPr="00906982">
        <w:rPr>
          <w:sz w:val="22"/>
          <w:szCs w:val="22"/>
        </w:rPr>
        <w:t>Documents must be signed, where required, by the Chief Elected Official (CEO)</w:t>
      </w:r>
    </w:p>
    <w:p w:rsidR="00F95DA3" w:rsidRDefault="00F95DA3">
      <w:pPr>
        <w:rPr>
          <w:sz w:val="16"/>
          <w:szCs w:val="16"/>
        </w:rPr>
      </w:pPr>
    </w:p>
    <w:p w:rsidR="00C66BBC" w:rsidRDefault="00C66BBC">
      <w:pPr>
        <w:rPr>
          <w:sz w:val="16"/>
          <w:szCs w:val="16"/>
        </w:rPr>
      </w:pPr>
    </w:p>
    <w:p w:rsidR="00C00283" w:rsidRDefault="00C00283" w:rsidP="00C00283">
      <w:pPr>
        <w:rPr>
          <w:sz w:val="22"/>
          <w:szCs w:val="22"/>
        </w:rPr>
      </w:pPr>
    </w:p>
    <w:p w:rsidR="00C00283" w:rsidRDefault="00C00283" w:rsidP="00C00283">
      <w:pPr>
        <w:rPr>
          <w:sz w:val="16"/>
          <w:szCs w:val="16"/>
        </w:rPr>
      </w:pPr>
    </w:p>
    <w:p w:rsidR="001B7508" w:rsidRDefault="001B7508" w:rsidP="00C00283">
      <w:pPr>
        <w:rPr>
          <w:sz w:val="16"/>
          <w:szCs w:val="16"/>
        </w:rPr>
      </w:pPr>
    </w:p>
    <w:p w:rsidR="001B7508" w:rsidRPr="001E3893" w:rsidRDefault="001B7508" w:rsidP="00C00283">
      <w:pPr>
        <w:rPr>
          <w:sz w:val="16"/>
          <w:szCs w:val="16"/>
        </w:rPr>
      </w:pPr>
    </w:p>
    <w:p w:rsidR="00C00283" w:rsidRPr="000E3214" w:rsidRDefault="00C00283" w:rsidP="00C00283">
      <w:pPr>
        <w:rPr>
          <w:sz w:val="20"/>
          <w:szCs w:val="20"/>
        </w:rPr>
      </w:pPr>
      <w:r w:rsidRPr="000E3214">
        <w:rPr>
          <w:sz w:val="20"/>
          <w:szCs w:val="20"/>
        </w:rPr>
        <w:t>______________________________</w:t>
      </w:r>
      <w:r w:rsidRPr="000E3214">
        <w:rPr>
          <w:sz w:val="20"/>
          <w:szCs w:val="20"/>
        </w:rPr>
        <w:tab/>
        <w:t>______________</w:t>
      </w:r>
      <w:r w:rsidRPr="000E3214">
        <w:rPr>
          <w:sz w:val="20"/>
          <w:szCs w:val="20"/>
        </w:rPr>
        <w:tab/>
        <w:t xml:space="preserve">              _____________________________ </w:t>
      </w:r>
    </w:p>
    <w:p w:rsidR="00C00283" w:rsidRPr="001E3893" w:rsidRDefault="00C00283" w:rsidP="00C00283">
      <w:pPr>
        <w:rPr>
          <w:sz w:val="20"/>
          <w:szCs w:val="20"/>
        </w:rPr>
      </w:pPr>
      <w:r w:rsidRPr="000E3214">
        <w:rPr>
          <w:sz w:val="20"/>
          <w:szCs w:val="20"/>
        </w:rPr>
        <w:t>CDBG Representative</w:t>
      </w:r>
      <w:r w:rsidRPr="000E3214">
        <w:rPr>
          <w:sz w:val="20"/>
          <w:szCs w:val="20"/>
        </w:rPr>
        <w:tab/>
      </w:r>
      <w:r w:rsidRPr="000E3214">
        <w:rPr>
          <w:sz w:val="20"/>
          <w:szCs w:val="20"/>
        </w:rPr>
        <w:tab/>
        <w:t xml:space="preserve">         </w:t>
      </w:r>
      <w:r w:rsidRPr="000E3214">
        <w:rPr>
          <w:sz w:val="20"/>
          <w:szCs w:val="20"/>
        </w:rPr>
        <w:tab/>
        <w:t>Date</w:t>
      </w:r>
      <w:r w:rsidRPr="000E3214">
        <w:rPr>
          <w:sz w:val="20"/>
          <w:szCs w:val="20"/>
        </w:rPr>
        <w:tab/>
      </w:r>
      <w:r w:rsidRPr="000E3214">
        <w:rPr>
          <w:sz w:val="20"/>
          <w:szCs w:val="20"/>
        </w:rPr>
        <w:tab/>
      </w:r>
      <w:r w:rsidRPr="000E3214">
        <w:rPr>
          <w:sz w:val="20"/>
          <w:szCs w:val="20"/>
        </w:rPr>
        <w:tab/>
        <w:t>Grantee Representative</w:t>
      </w:r>
    </w:p>
    <w:p w:rsidR="00C00283" w:rsidRPr="00906982" w:rsidRDefault="00C00283" w:rsidP="00C00283">
      <w:pPr>
        <w:rPr>
          <w:sz w:val="22"/>
          <w:szCs w:val="22"/>
        </w:rPr>
      </w:pPr>
    </w:p>
    <w:p w:rsidR="009813C2" w:rsidRDefault="009813C2">
      <w:pPr>
        <w:rPr>
          <w:sz w:val="16"/>
          <w:szCs w:val="16"/>
        </w:rPr>
      </w:pPr>
    </w:p>
    <w:p w:rsidR="009813C2" w:rsidRDefault="009813C2">
      <w:pPr>
        <w:rPr>
          <w:sz w:val="16"/>
          <w:szCs w:val="16"/>
        </w:rPr>
      </w:pPr>
    </w:p>
    <w:p w:rsidR="009813C2" w:rsidRDefault="009813C2">
      <w:pPr>
        <w:rPr>
          <w:sz w:val="16"/>
          <w:szCs w:val="16"/>
        </w:rPr>
      </w:pPr>
    </w:p>
    <w:p w:rsidR="009813C2" w:rsidRDefault="009813C2">
      <w:pPr>
        <w:rPr>
          <w:sz w:val="16"/>
          <w:szCs w:val="16"/>
        </w:rPr>
      </w:pPr>
    </w:p>
    <w:sectPr w:rsidR="009813C2" w:rsidSect="009671F0">
      <w:headerReference w:type="even" r:id="rId20"/>
      <w:headerReference w:type="default" r:id="rId21"/>
      <w:footerReference w:type="even" r:id="rId22"/>
      <w:footerReference w:type="default" r:id="rId23"/>
      <w:headerReference w:type="first" r:id="rId24"/>
      <w:footerReference w:type="first" r:id="rId25"/>
      <w:pgSz w:w="12240" w:h="15840"/>
      <w:pgMar w:top="1440" w:right="1800" w:bottom="990" w:left="180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419" w:rsidRDefault="00516419" w:rsidP="008F5882">
      <w:r>
        <w:separator/>
      </w:r>
    </w:p>
  </w:endnote>
  <w:endnote w:type="continuationSeparator" w:id="0">
    <w:p w:rsidR="00516419" w:rsidRDefault="00516419" w:rsidP="008F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14D" w:rsidRDefault="00AD1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82B" w:rsidRDefault="000B282B">
    <w:pPr>
      <w:pStyle w:val="Footer"/>
      <w:jc w:val="center"/>
      <w:rPr>
        <w:sz w:val="20"/>
        <w:szCs w:val="20"/>
      </w:rPr>
    </w:pPr>
  </w:p>
  <w:p w:rsidR="000B282B" w:rsidRPr="003D235F" w:rsidRDefault="000B282B">
    <w:pPr>
      <w:pStyle w:val="Footer"/>
      <w:jc w:val="center"/>
      <w:rPr>
        <w:sz w:val="20"/>
        <w:szCs w:val="20"/>
      </w:rPr>
    </w:pPr>
    <w:r w:rsidRPr="003D235F">
      <w:rPr>
        <w:sz w:val="20"/>
        <w:szCs w:val="20"/>
      </w:rPr>
      <w:t xml:space="preserve">Page </w:t>
    </w:r>
    <w:r w:rsidR="003B7581" w:rsidRPr="003D235F">
      <w:rPr>
        <w:b/>
        <w:sz w:val="20"/>
        <w:szCs w:val="20"/>
      </w:rPr>
      <w:fldChar w:fldCharType="begin"/>
    </w:r>
    <w:r w:rsidRPr="003D235F">
      <w:rPr>
        <w:b/>
        <w:sz w:val="20"/>
        <w:szCs w:val="20"/>
      </w:rPr>
      <w:instrText xml:space="preserve"> PAGE </w:instrText>
    </w:r>
    <w:r w:rsidR="003B7581" w:rsidRPr="003D235F">
      <w:rPr>
        <w:b/>
        <w:sz w:val="20"/>
        <w:szCs w:val="20"/>
      </w:rPr>
      <w:fldChar w:fldCharType="separate"/>
    </w:r>
    <w:r w:rsidR="006913CA">
      <w:rPr>
        <w:b/>
        <w:noProof/>
        <w:sz w:val="20"/>
        <w:szCs w:val="20"/>
      </w:rPr>
      <w:t>3</w:t>
    </w:r>
    <w:r w:rsidR="003B7581" w:rsidRPr="003D235F">
      <w:rPr>
        <w:b/>
        <w:sz w:val="20"/>
        <w:szCs w:val="20"/>
      </w:rPr>
      <w:fldChar w:fldCharType="end"/>
    </w:r>
    <w:r w:rsidRPr="003D235F">
      <w:rPr>
        <w:sz w:val="20"/>
        <w:szCs w:val="20"/>
      </w:rPr>
      <w:t xml:space="preserve"> of </w:t>
    </w:r>
    <w:r w:rsidR="003B7581" w:rsidRPr="003D235F">
      <w:rPr>
        <w:b/>
        <w:sz w:val="20"/>
        <w:szCs w:val="20"/>
      </w:rPr>
      <w:fldChar w:fldCharType="begin"/>
    </w:r>
    <w:r w:rsidRPr="003D235F">
      <w:rPr>
        <w:b/>
        <w:sz w:val="20"/>
        <w:szCs w:val="20"/>
      </w:rPr>
      <w:instrText xml:space="preserve"> NUMPAGES  </w:instrText>
    </w:r>
    <w:r w:rsidR="003B7581" w:rsidRPr="003D235F">
      <w:rPr>
        <w:b/>
        <w:sz w:val="20"/>
        <w:szCs w:val="20"/>
      </w:rPr>
      <w:fldChar w:fldCharType="separate"/>
    </w:r>
    <w:r w:rsidR="006913CA">
      <w:rPr>
        <w:b/>
        <w:noProof/>
        <w:sz w:val="20"/>
        <w:szCs w:val="20"/>
      </w:rPr>
      <w:t>6</w:t>
    </w:r>
    <w:r w:rsidR="003B7581" w:rsidRPr="003D235F">
      <w:rPr>
        <w:b/>
        <w:sz w:val="20"/>
        <w:szCs w:val="20"/>
      </w:rPr>
      <w:fldChar w:fldCharType="end"/>
    </w:r>
  </w:p>
  <w:p w:rsidR="000B282B" w:rsidRDefault="00C00FEE" w:rsidP="00483B22">
    <w:pPr>
      <w:rPr>
        <w:rFonts w:ascii="Franklin Gothic Book" w:hAnsi="Franklin Gothic Book"/>
        <w:sz w:val="20"/>
        <w:szCs w:val="20"/>
      </w:rPr>
    </w:pPr>
    <w:r>
      <w:rPr>
        <w:rFonts w:ascii="Franklin Gothic Book" w:hAnsi="Franklin Gothic Book"/>
        <w:sz w:val="20"/>
        <w:szCs w:val="20"/>
      </w:rPr>
      <w:t>3</w:t>
    </w:r>
    <w:r w:rsidR="000B282B">
      <w:rPr>
        <w:rFonts w:ascii="Franklin Gothic Book" w:hAnsi="Franklin Gothic Book"/>
        <w:sz w:val="20"/>
        <w:szCs w:val="20"/>
      </w:rPr>
      <w:t>-</w:t>
    </w:r>
    <w:r>
      <w:rPr>
        <w:rFonts w:ascii="Franklin Gothic Book" w:hAnsi="Franklin Gothic Book"/>
        <w:sz w:val="20"/>
        <w:szCs w:val="20"/>
      </w:rPr>
      <w:t>5</w:t>
    </w:r>
    <w:r w:rsidR="000B282B">
      <w:rPr>
        <w:rFonts w:ascii="Franklin Gothic Book" w:hAnsi="Franklin Gothic Book"/>
        <w:sz w:val="20"/>
        <w:szCs w:val="20"/>
      </w:rPr>
      <w:t>-1</w:t>
    </w:r>
    <w:r>
      <w:rPr>
        <w:rFonts w:ascii="Franklin Gothic Book" w:hAnsi="Franklin Gothic Book"/>
        <w:sz w:val="20"/>
        <w:szCs w:val="20"/>
      </w:rPr>
      <w:t>9</w:t>
    </w:r>
    <w:r w:rsidR="000B282B">
      <w:rPr>
        <w:rFonts w:ascii="Franklin Gothic Book" w:hAnsi="Franklin Gothic Book"/>
        <w:sz w:val="20"/>
        <w:szCs w:val="20"/>
      </w:rPr>
      <w:t xml:space="preserve"> Revised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14D" w:rsidRDefault="00AD1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419" w:rsidRDefault="00516419" w:rsidP="008F5882">
      <w:r>
        <w:separator/>
      </w:r>
    </w:p>
  </w:footnote>
  <w:footnote w:type="continuationSeparator" w:id="0">
    <w:p w:rsidR="00516419" w:rsidRDefault="00516419" w:rsidP="008F5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14D" w:rsidRDefault="00AD1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82B" w:rsidRPr="002C213D" w:rsidRDefault="00542315" w:rsidP="009671F0">
    <w:pPr>
      <w:pStyle w:val="Header"/>
      <w:jc w:val="right"/>
      <w:rPr>
        <w:rFonts w:ascii="Franklin Gothic Book" w:hAnsi="Franklin Gothic Book"/>
        <w:sz w:val="20"/>
        <w:szCs w:val="20"/>
      </w:rPr>
    </w:pPr>
    <w:r>
      <w:rPr>
        <w:rFonts w:ascii="Franklin Gothic Book" w:hAnsi="Franklin Gothic Book"/>
        <w:noProof/>
        <w:sz w:val="20"/>
        <w:szCs w:val="20"/>
      </w:rPr>
      <mc:AlternateContent>
        <mc:Choice Requires="wps">
          <w:drawing>
            <wp:anchor distT="0" distB="0" distL="114300" distR="114300" simplePos="0" relativeHeight="251657728" behindDoc="0" locked="0" layoutInCell="1" allowOverlap="1">
              <wp:simplePos x="0" y="0"/>
              <wp:positionH relativeFrom="column">
                <wp:posOffset>-304800</wp:posOffset>
              </wp:positionH>
              <wp:positionV relativeFrom="paragraph">
                <wp:posOffset>-323850</wp:posOffset>
              </wp:positionV>
              <wp:extent cx="1323975" cy="9391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39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82B" w:rsidRDefault="000B282B" w:rsidP="009671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4pt;margin-top:-25.5pt;width:104.25pt;height:7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" filled="f" stroked="f">
              <v:textbox>
                <w:txbxContent>
                  <w:p w:rsidR="000B282B" w:rsidRDefault="000B282B" w:rsidP="009671F0"/>
                </w:txbxContent>
              </v:textbox>
            </v:shape>
          </w:pict>
        </mc:Fallback>
      </mc:AlternateContent>
    </w:r>
    <w:r w:rsidR="00C00FEE">
      <w:rPr>
        <w:rFonts w:ascii="Franklin Gothic Book" w:hAnsi="Franklin Gothic Book"/>
        <w:sz w:val="20"/>
        <w:szCs w:val="20"/>
      </w:rPr>
      <w:t>Rural Economic Development Division (REDD)</w:t>
    </w:r>
  </w:p>
  <w:p w:rsidR="000B282B" w:rsidRPr="002C213D" w:rsidRDefault="000B282B" w:rsidP="009671F0">
    <w:pPr>
      <w:pStyle w:val="Header"/>
      <w:jc w:val="right"/>
      <w:rPr>
        <w:rFonts w:ascii="Franklin Gothic Book" w:hAnsi="Franklin Gothic Book"/>
        <w:sz w:val="20"/>
        <w:szCs w:val="20"/>
      </w:rPr>
    </w:pPr>
    <w:bookmarkStart w:id="4" w:name="_GoBack"/>
    <w:bookmarkEnd w:id="4"/>
    <w:r w:rsidRPr="002C213D">
      <w:rPr>
        <w:rFonts w:ascii="Franklin Gothic Book" w:hAnsi="Franklin Gothic Book"/>
        <w:sz w:val="20"/>
        <w:szCs w:val="20"/>
      </w:rPr>
      <w:t>Community Development Block Program</w:t>
    </w:r>
  </w:p>
  <w:p w:rsidR="000B282B" w:rsidRDefault="000B2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14D" w:rsidRDefault="00AD1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26CCF72"/>
    <w:lvl w:ilvl="0">
      <w:numFmt w:val="bullet"/>
      <w:lvlText w:val="*"/>
      <w:lvlJc w:val="left"/>
    </w:lvl>
  </w:abstractNum>
  <w:abstractNum w:abstractNumId="1" w15:restartNumberingAfterBreak="0">
    <w:nsid w:val="21B008F2"/>
    <w:multiLevelType w:val="hybridMultilevel"/>
    <w:tmpl w:val="D6040FA0"/>
    <w:lvl w:ilvl="0" w:tplc="6F6840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2EA"/>
    <w:rsid w:val="000001AD"/>
    <w:rsid w:val="00014A12"/>
    <w:rsid w:val="00030659"/>
    <w:rsid w:val="000308EE"/>
    <w:rsid w:val="00033C66"/>
    <w:rsid w:val="000512F7"/>
    <w:rsid w:val="0006172C"/>
    <w:rsid w:val="00082814"/>
    <w:rsid w:val="00086FF3"/>
    <w:rsid w:val="000B282B"/>
    <w:rsid w:val="000E3214"/>
    <w:rsid w:val="001021C5"/>
    <w:rsid w:val="001207DC"/>
    <w:rsid w:val="001215C5"/>
    <w:rsid w:val="001264C1"/>
    <w:rsid w:val="00132D7D"/>
    <w:rsid w:val="00185681"/>
    <w:rsid w:val="00186883"/>
    <w:rsid w:val="001A2497"/>
    <w:rsid w:val="001A38F2"/>
    <w:rsid w:val="001B3D08"/>
    <w:rsid w:val="001B7508"/>
    <w:rsid w:val="001D6E18"/>
    <w:rsid w:val="001E3893"/>
    <w:rsid w:val="002402DE"/>
    <w:rsid w:val="00253BC5"/>
    <w:rsid w:val="002B601D"/>
    <w:rsid w:val="002B73B4"/>
    <w:rsid w:val="002C66C4"/>
    <w:rsid w:val="00300211"/>
    <w:rsid w:val="003456AE"/>
    <w:rsid w:val="0036326E"/>
    <w:rsid w:val="003B4DAD"/>
    <w:rsid w:val="003B7581"/>
    <w:rsid w:val="003D235F"/>
    <w:rsid w:val="00404A35"/>
    <w:rsid w:val="00405147"/>
    <w:rsid w:val="00412A3F"/>
    <w:rsid w:val="00445746"/>
    <w:rsid w:val="00453CB3"/>
    <w:rsid w:val="00466558"/>
    <w:rsid w:val="004743D7"/>
    <w:rsid w:val="00483B22"/>
    <w:rsid w:val="004B39F3"/>
    <w:rsid w:val="004D4A0F"/>
    <w:rsid w:val="00516419"/>
    <w:rsid w:val="00542315"/>
    <w:rsid w:val="00543596"/>
    <w:rsid w:val="005442BB"/>
    <w:rsid w:val="00546742"/>
    <w:rsid w:val="005A6F93"/>
    <w:rsid w:val="005E02EA"/>
    <w:rsid w:val="005F5CF4"/>
    <w:rsid w:val="00606159"/>
    <w:rsid w:val="006107E6"/>
    <w:rsid w:val="0062318B"/>
    <w:rsid w:val="00625AD3"/>
    <w:rsid w:val="006440CA"/>
    <w:rsid w:val="00644F60"/>
    <w:rsid w:val="00654053"/>
    <w:rsid w:val="0067129B"/>
    <w:rsid w:val="006913CA"/>
    <w:rsid w:val="006A2E65"/>
    <w:rsid w:val="006A326F"/>
    <w:rsid w:val="006A3FE3"/>
    <w:rsid w:val="006A58F3"/>
    <w:rsid w:val="006B1861"/>
    <w:rsid w:val="006F767F"/>
    <w:rsid w:val="0071058E"/>
    <w:rsid w:val="0071601A"/>
    <w:rsid w:val="00735586"/>
    <w:rsid w:val="007475DB"/>
    <w:rsid w:val="00750076"/>
    <w:rsid w:val="0075433A"/>
    <w:rsid w:val="007838C4"/>
    <w:rsid w:val="00796B66"/>
    <w:rsid w:val="007A4521"/>
    <w:rsid w:val="007A5130"/>
    <w:rsid w:val="007B13AE"/>
    <w:rsid w:val="007C0C22"/>
    <w:rsid w:val="007C2AE1"/>
    <w:rsid w:val="007C5792"/>
    <w:rsid w:val="007F0896"/>
    <w:rsid w:val="00815B1C"/>
    <w:rsid w:val="0081740F"/>
    <w:rsid w:val="00831A17"/>
    <w:rsid w:val="00847EDC"/>
    <w:rsid w:val="00853B54"/>
    <w:rsid w:val="00866A2B"/>
    <w:rsid w:val="008C367A"/>
    <w:rsid w:val="008F46DA"/>
    <w:rsid w:val="008F5882"/>
    <w:rsid w:val="00906982"/>
    <w:rsid w:val="00935810"/>
    <w:rsid w:val="00935FAF"/>
    <w:rsid w:val="009671F0"/>
    <w:rsid w:val="00970BF6"/>
    <w:rsid w:val="009813C2"/>
    <w:rsid w:val="009A7C3F"/>
    <w:rsid w:val="009E1EBB"/>
    <w:rsid w:val="009E6C22"/>
    <w:rsid w:val="009F7668"/>
    <w:rsid w:val="00A1063F"/>
    <w:rsid w:val="00A24885"/>
    <w:rsid w:val="00A56386"/>
    <w:rsid w:val="00A60AF4"/>
    <w:rsid w:val="00A73DC6"/>
    <w:rsid w:val="00A809AE"/>
    <w:rsid w:val="00A9263E"/>
    <w:rsid w:val="00A955A0"/>
    <w:rsid w:val="00A95DD4"/>
    <w:rsid w:val="00AA5A99"/>
    <w:rsid w:val="00AB330A"/>
    <w:rsid w:val="00AC339F"/>
    <w:rsid w:val="00AD007E"/>
    <w:rsid w:val="00AD114D"/>
    <w:rsid w:val="00AD39D2"/>
    <w:rsid w:val="00AD3E8F"/>
    <w:rsid w:val="00B03B12"/>
    <w:rsid w:val="00B13E9C"/>
    <w:rsid w:val="00B260F7"/>
    <w:rsid w:val="00B30F02"/>
    <w:rsid w:val="00B60611"/>
    <w:rsid w:val="00B93EEC"/>
    <w:rsid w:val="00BA0486"/>
    <w:rsid w:val="00BD2B13"/>
    <w:rsid w:val="00BD7F16"/>
    <w:rsid w:val="00BE72C7"/>
    <w:rsid w:val="00C00283"/>
    <w:rsid w:val="00C00FEE"/>
    <w:rsid w:val="00C02236"/>
    <w:rsid w:val="00C04B3A"/>
    <w:rsid w:val="00C27058"/>
    <w:rsid w:val="00C46ABD"/>
    <w:rsid w:val="00C57CA2"/>
    <w:rsid w:val="00C64D86"/>
    <w:rsid w:val="00C66BBC"/>
    <w:rsid w:val="00C84C89"/>
    <w:rsid w:val="00C872EA"/>
    <w:rsid w:val="00C95A14"/>
    <w:rsid w:val="00CC1574"/>
    <w:rsid w:val="00CD0119"/>
    <w:rsid w:val="00CD15CD"/>
    <w:rsid w:val="00CD2C40"/>
    <w:rsid w:val="00CE5F59"/>
    <w:rsid w:val="00CF10BF"/>
    <w:rsid w:val="00CF4BE3"/>
    <w:rsid w:val="00D13768"/>
    <w:rsid w:val="00D30890"/>
    <w:rsid w:val="00D3155F"/>
    <w:rsid w:val="00D4173E"/>
    <w:rsid w:val="00D543B7"/>
    <w:rsid w:val="00D70AA6"/>
    <w:rsid w:val="00D72CBA"/>
    <w:rsid w:val="00D772DD"/>
    <w:rsid w:val="00D8232F"/>
    <w:rsid w:val="00D914E5"/>
    <w:rsid w:val="00D9329F"/>
    <w:rsid w:val="00D9702D"/>
    <w:rsid w:val="00E01E8F"/>
    <w:rsid w:val="00E04FC3"/>
    <w:rsid w:val="00E068F5"/>
    <w:rsid w:val="00E32563"/>
    <w:rsid w:val="00E46FD9"/>
    <w:rsid w:val="00E56D8B"/>
    <w:rsid w:val="00E606A5"/>
    <w:rsid w:val="00E64C23"/>
    <w:rsid w:val="00E64CC4"/>
    <w:rsid w:val="00E66AE1"/>
    <w:rsid w:val="00E71F54"/>
    <w:rsid w:val="00E82D92"/>
    <w:rsid w:val="00EB65E2"/>
    <w:rsid w:val="00EC14F8"/>
    <w:rsid w:val="00ED5885"/>
    <w:rsid w:val="00F06593"/>
    <w:rsid w:val="00F156D6"/>
    <w:rsid w:val="00F25609"/>
    <w:rsid w:val="00F27440"/>
    <w:rsid w:val="00F56B35"/>
    <w:rsid w:val="00F70356"/>
    <w:rsid w:val="00F86954"/>
    <w:rsid w:val="00F9098A"/>
    <w:rsid w:val="00F954AF"/>
    <w:rsid w:val="00F95DA3"/>
    <w:rsid w:val="00F9724A"/>
    <w:rsid w:val="00FB434D"/>
    <w:rsid w:val="00FB62F3"/>
    <w:rsid w:val="00FB66CA"/>
    <w:rsid w:val="00FB7F37"/>
    <w:rsid w:val="00FC035A"/>
    <w:rsid w:val="00FC0D16"/>
    <w:rsid w:val="00FD1D47"/>
    <w:rsid w:val="00FD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CB5183C-0BD4-43EB-96D8-015D5599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rFonts w:ascii="Arial Narrow" w:hAnsi="Arial Narrow"/>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alloonText">
    <w:name w:val="Balloon Text"/>
    <w:basedOn w:val="Normal"/>
    <w:semiHidden/>
    <w:rPr>
      <w:rFonts w:ascii="Tahoma" w:hAnsi="Tahoma" w:cs="Tahoma"/>
      <w:sz w:val="16"/>
      <w:szCs w:val="16"/>
    </w:rPr>
  </w:style>
  <w:style w:type="character" w:customStyle="1" w:styleId="EmailStyle17">
    <w:name w:val="EmailStyle17"/>
    <w:basedOn w:val="DefaultParagraphFont"/>
    <w:semiHidden/>
    <w:rPr>
      <w:rFonts w:ascii="Arial" w:hAnsi="Arial" w:cs="Arial"/>
      <w:color w:val="auto"/>
      <w:sz w:val="20"/>
      <w:szCs w:val="20"/>
    </w:rPr>
  </w:style>
  <w:style w:type="character" w:styleId="FollowedHyperlink">
    <w:name w:val="FollowedHyperlink"/>
    <w:basedOn w:val="DefaultParagraphFont"/>
    <w:semiHidden/>
    <w:rPr>
      <w:color w:val="800080"/>
      <w:u w:val="single"/>
    </w:rPr>
  </w:style>
  <w:style w:type="paragraph" w:styleId="BodyText">
    <w:name w:val="Body Text"/>
    <w:basedOn w:val="Normal"/>
    <w:semiHidden/>
    <w:rPr>
      <w:rFonts w:ascii="Arial Narrow" w:hAnsi="Arial Narrow"/>
      <w:sz w:val="22"/>
    </w:rPr>
  </w:style>
  <w:style w:type="table" w:styleId="TableGrid">
    <w:name w:val="Table Grid"/>
    <w:basedOn w:val="TableNormal"/>
    <w:uiPriority w:val="59"/>
    <w:rsid w:val="00D914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F5882"/>
    <w:pPr>
      <w:tabs>
        <w:tab w:val="center" w:pos="4680"/>
        <w:tab w:val="right" w:pos="9360"/>
      </w:tabs>
    </w:pPr>
  </w:style>
  <w:style w:type="character" w:customStyle="1" w:styleId="HeaderChar">
    <w:name w:val="Header Char"/>
    <w:basedOn w:val="DefaultParagraphFont"/>
    <w:link w:val="Header"/>
    <w:uiPriority w:val="99"/>
    <w:rsid w:val="008F5882"/>
    <w:rPr>
      <w:sz w:val="24"/>
      <w:szCs w:val="24"/>
    </w:rPr>
  </w:style>
  <w:style w:type="paragraph" w:styleId="Footer">
    <w:name w:val="footer"/>
    <w:basedOn w:val="Normal"/>
    <w:link w:val="FooterChar"/>
    <w:uiPriority w:val="99"/>
    <w:unhideWhenUsed/>
    <w:rsid w:val="008F5882"/>
    <w:pPr>
      <w:tabs>
        <w:tab w:val="center" w:pos="4680"/>
        <w:tab w:val="right" w:pos="9360"/>
      </w:tabs>
    </w:pPr>
  </w:style>
  <w:style w:type="character" w:customStyle="1" w:styleId="FooterChar">
    <w:name w:val="Footer Char"/>
    <w:basedOn w:val="DefaultParagraphFont"/>
    <w:link w:val="Footer"/>
    <w:uiPriority w:val="99"/>
    <w:rsid w:val="008F5882"/>
    <w:rPr>
      <w:sz w:val="24"/>
      <w:szCs w:val="24"/>
    </w:rPr>
  </w:style>
  <w:style w:type="character" w:styleId="UnresolvedMention">
    <w:name w:val="Unresolved Mention"/>
    <w:basedOn w:val="DefaultParagraphFont"/>
    <w:uiPriority w:val="99"/>
    <w:semiHidden/>
    <w:unhideWhenUsed/>
    <w:rsid w:val="00186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955176">
      <w:bodyDiv w:val="1"/>
      <w:marLeft w:val="0"/>
      <w:marRight w:val="0"/>
      <w:marTop w:val="0"/>
      <w:marBottom w:val="0"/>
      <w:divBdr>
        <w:top w:val="none" w:sz="0" w:space="0" w:color="auto"/>
        <w:left w:val="none" w:sz="0" w:space="0" w:color="auto"/>
        <w:bottom w:val="none" w:sz="0" w:space="0" w:color="auto"/>
        <w:right w:val="none" w:sz="0" w:space="0" w:color="auto"/>
      </w:divBdr>
    </w:div>
    <w:div w:id="211979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liance@nccommerce.com" TargetMode="External"/><Relationship Id="rId13" Type="http://schemas.openxmlformats.org/officeDocument/2006/relationships/hyperlink" Target="http://wdol.gov/" TargetMode="External"/><Relationship Id="rId18" Type="http://schemas.openxmlformats.org/officeDocument/2006/relationships/hyperlink" Target="http://www.nccommerce.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compliance@nccommerce.com" TargetMode="External"/><Relationship Id="rId12" Type="http://schemas.openxmlformats.org/officeDocument/2006/relationships/hyperlink" Target="mailto:compliance@nccommerce.com" TargetMode="External"/><Relationship Id="rId17" Type="http://schemas.openxmlformats.org/officeDocument/2006/relationships/hyperlink" Target="http://www.doa.state.nc.us/PandC/actions.ht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sam.go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liance@nccommerce.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ips.state.nc.us/ips/" TargetMode="External"/><Relationship Id="rId23" Type="http://schemas.openxmlformats.org/officeDocument/2006/relationships/footer" Target="footer2.xml"/><Relationship Id="rId10" Type="http://schemas.openxmlformats.org/officeDocument/2006/relationships/hyperlink" Target="mailto:compliance@nccommerce.com" TargetMode="External"/><Relationship Id="rId19" Type="http://schemas.openxmlformats.org/officeDocument/2006/relationships/hyperlink" Target="http://www.nccommerce.com" TargetMode="External"/><Relationship Id="rId4" Type="http://schemas.openxmlformats.org/officeDocument/2006/relationships/webSettings" Target="webSettings.xml"/><Relationship Id="rId9" Type="http://schemas.openxmlformats.org/officeDocument/2006/relationships/hyperlink" Target="mailto:compliance@nccommerce.com" TargetMode="External"/><Relationship Id="rId14" Type="http://schemas.openxmlformats.org/officeDocument/2006/relationships/hyperlink" Target="mailto:compliance@nccommerce.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2431</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Start Up Visit Review Sheet</vt:lpstr>
    </vt:vector>
  </TitlesOfParts>
  <Company>DCA</Company>
  <LinksUpToDate>false</LinksUpToDate>
  <CharactersWithSpaces>16262</CharactersWithSpaces>
  <SharedDoc>false</SharedDoc>
  <HLinks>
    <vt:vector size="102" baseType="variant">
      <vt:variant>
        <vt:i4>196621</vt:i4>
      </vt:variant>
      <vt:variant>
        <vt:i4>88</vt:i4>
      </vt:variant>
      <vt:variant>
        <vt:i4>0</vt:i4>
      </vt:variant>
      <vt:variant>
        <vt:i4>5</vt:i4>
      </vt:variant>
      <vt:variant>
        <vt:lpwstr>http://www.nccommerce.com/communitydevelopment/investment-assistance</vt:lpwstr>
      </vt:variant>
      <vt:variant>
        <vt:lpwstr/>
      </vt:variant>
      <vt:variant>
        <vt:i4>16</vt:i4>
      </vt:variant>
      <vt:variant>
        <vt:i4>85</vt:i4>
      </vt:variant>
      <vt:variant>
        <vt:i4>0</vt:i4>
      </vt:variant>
      <vt:variant>
        <vt:i4>5</vt:i4>
      </vt:variant>
      <vt:variant>
        <vt:lpwstr>http://www.nccommerce.com/communitydevelopment/investment-assistance/forms-resources</vt:lpwstr>
      </vt:variant>
      <vt:variant>
        <vt:lpwstr/>
      </vt:variant>
      <vt:variant>
        <vt:i4>16</vt:i4>
      </vt:variant>
      <vt:variant>
        <vt:i4>82</vt:i4>
      </vt:variant>
      <vt:variant>
        <vt:i4>0</vt:i4>
      </vt:variant>
      <vt:variant>
        <vt:i4>5</vt:i4>
      </vt:variant>
      <vt:variant>
        <vt:lpwstr>http://www.nccommerce.com/communitydevelopment/investment-assistance/forms-resources</vt:lpwstr>
      </vt:variant>
      <vt:variant>
        <vt:lpwstr/>
      </vt:variant>
      <vt:variant>
        <vt:i4>2293807</vt:i4>
      </vt:variant>
      <vt:variant>
        <vt:i4>79</vt:i4>
      </vt:variant>
      <vt:variant>
        <vt:i4>0</vt:i4>
      </vt:variant>
      <vt:variant>
        <vt:i4>5</vt:i4>
      </vt:variant>
      <vt:variant>
        <vt:lpwstr>http://www.nccommerce.com/communitydevelopment/investment-assistance/forms-resources/compliance-plans-and-templates/labor-standards</vt:lpwstr>
      </vt:variant>
      <vt:variant>
        <vt:lpwstr/>
      </vt:variant>
      <vt:variant>
        <vt:i4>3801104</vt:i4>
      </vt:variant>
      <vt:variant>
        <vt:i4>76</vt:i4>
      </vt:variant>
      <vt:variant>
        <vt:i4>0</vt:i4>
      </vt:variant>
      <vt:variant>
        <vt:i4>5</vt:i4>
      </vt:variant>
      <vt:variant>
        <vt:lpwstr>mailto:compliance@nccommerce.com</vt:lpwstr>
      </vt:variant>
      <vt:variant>
        <vt:lpwstr/>
      </vt:variant>
      <vt:variant>
        <vt:i4>16</vt:i4>
      </vt:variant>
      <vt:variant>
        <vt:i4>73</vt:i4>
      </vt:variant>
      <vt:variant>
        <vt:i4>0</vt:i4>
      </vt:variant>
      <vt:variant>
        <vt:i4>5</vt:i4>
      </vt:variant>
      <vt:variant>
        <vt:lpwstr>http://www.nccommerce.com/communitydevelopment/investment-assistance/forms-resources</vt:lpwstr>
      </vt:variant>
      <vt:variant>
        <vt:lpwstr/>
      </vt:variant>
      <vt:variant>
        <vt:i4>6160388</vt:i4>
      </vt:variant>
      <vt:variant>
        <vt:i4>70</vt:i4>
      </vt:variant>
      <vt:variant>
        <vt:i4>0</vt:i4>
      </vt:variant>
      <vt:variant>
        <vt:i4>5</vt:i4>
      </vt:variant>
      <vt:variant>
        <vt:lpwstr>https://www.ips.state.nc.us/ips/</vt:lpwstr>
      </vt:variant>
      <vt:variant>
        <vt:lpwstr/>
      </vt:variant>
      <vt:variant>
        <vt:i4>4849675</vt:i4>
      </vt:variant>
      <vt:variant>
        <vt:i4>67</vt:i4>
      </vt:variant>
      <vt:variant>
        <vt:i4>0</vt:i4>
      </vt:variant>
      <vt:variant>
        <vt:i4>5</vt:i4>
      </vt:variant>
      <vt:variant>
        <vt:lpwstr>http://www.nccommerce.com/communitydevelopment/investment-assistance/forms-resources/compliance-plans-and-templates/environmental-review-process</vt:lpwstr>
      </vt:variant>
      <vt:variant>
        <vt:lpwstr/>
      </vt:variant>
      <vt:variant>
        <vt:i4>3801104</vt:i4>
      </vt:variant>
      <vt:variant>
        <vt:i4>64</vt:i4>
      </vt:variant>
      <vt:variant>
        <vt:i4>0</vt:i4>
      </vt:variant>
      <vt:variant>
        <vt:i4>5</vt:i4>
      </vt:variant>
      <vt:variant>
        <vt:lpwstr>mailto:compliance@nccommerce.com</vt:lpwstr>
      </vt:variant>
      <vt:variant>
        <vt:lpwstr/>
      </vt:variant>
      <vt:variant>
        <vt:i4>3801104</vt:i4>
      </vt:variant>
      <vt:variant>
        <vt:i4>61</vt:i4>
      </vt:variant>
      <vt:variant>
        <vt:i4>0</vt:i4>
      </vt:variant>
      <vt:variant>
        <vt:i4>5</vt:i4>
      </vt:variant>
      <vt:variant>
        <vt:lpwstr>mailto:compliance@nccommerce.com</vt:lpwstr>
      </vt:variant>
      <vt:variant>
        <vt:lpwstr/>
      </vt:variant>
      <vt:variant>
        <vt:i4>4849675</vt:i4>
      </vt:variant>
      <vt:variant>
        <vt:i4>58</vt:i4>
      </vt:variant>
      <vt:variant>
        <vt:i4>0</vt:i4>
      </vt:variant>
      <vt:variant>
        <vt:i4>5</vt:i4>
      </vt:variant>
      <vt:variant>
        <vt:lpwstr>http://www.nccommerce.com/communitydevelopment/investment-assistance/forms-resources/compliance-plans-and-templates/environmental-review-process</vt:lpwstr>
      </vt:variant>
      <vt:variant>
        <vt:lpwstr/>
      </vt:variant>
      <vt:variant>
        <vt:i4>3801104</vt:i4>
      </vt:variant>
      <vt:variant>
        <vt:i4>55</vt:i4>
      </vt:variant>
      <vt:variant>
        <vt:i4>0</vt:i4>
      </vt:variant>
      <vt:variant>
        <vt:i4>5</vt:i4>
      </vt:variant>
      <vt:variant>
        <vt:lpwstr>mailto:compliance@nccommerce.com</vt:lpwstr>
      </vt:variant>
      <vt:variant>
        <vt:lpwstr/>
      </vt:variant>
      <vt:variant>
        <vt:i4>1769490</vt:i4>
      </vt:variant>
      <vt:variant>
        <vt:i4>52</vt:i4>
      </vt:variant>
      <vt:variant>
        <vt:i4>0</vt:i4>
      </vt:variant>
      <vt:variant>
        <vt:i4>5</vt:i4>
      </vt:variant>
      <vt:variant>
        <vt:lpwstr>http://www.doa.state.nc.us/PandC/actions.htm</vt:lpwstr>
      </vt:variant>
      <vt:variant>
        <vt:lpwstr/>
      </vt:variant>
      <vt:variant>
        <vt:i4>3014695</vt:i4>
      </vt:variant>
      <vt:variant>
        <vt:i4>49</vt:i4>
      </vt:variant>
      <vt:variant>
        <vt:i4>0</vt:i4>
      </vt:variant>
      <vt:variant>
        <vt:i4>5</vt:i4>
      </vt:variant>
      <vt:variant>
        <vt:lpwstr>http://www.epls.gov/epls/preferences.do</vt:lpwstr>
      </vt:variant>
      <vt:variant>
        <vt:lpwstr/>
      </vt:variant>
      <vt:variant>
        <vt:i4>3145764</vt:i4>
      </vt:variant>
      <vt:variant>
        <vt:i4>46</vt:i4>
      </vt:variant>
      <vt:variant>
        <vt:i4>0</vt:i4>
      </vt:variant>
      <vt:variant>
        <vt:i4>5</vt:i4>
      </vt:variant>
      <vt:variant>
        <vt:lpwstr>http://www.nccommerce.com/communitydevelopment/investment-assistance/forms-resources/compliance-plans-and-templates</vt:lpwstr>
      </vt:variant>
      <vt:variant>
        <vt:lpwstr/>
      </vt:variant>
      <vt:variant>
        <vt:i4>3801104</vt:i4>
      </vt:variant>
      <vt:variant>
        <vt:i4>43</vt:i4>
      </vt:variant>
      <vt:variant>
        <vt:i4>0</vt:i4>
      </vt:variant>
      <vt:variant>
        <vt:i4>5</vt:i4>
      </vt:variant>
      <vt:variant>
        <vt:lpwstr>mailto:compliance@nccommerce.com</vt:lpwstr>
      </vt:variant>
      <vt:variant>
        <vt:lpwstr/>
      </vt:variant>
      <vt:variant>
        <vt:i4>3801104</vt:i4>
      </vt:variant>
      <vt:variant>
        <vt:i4>40</vt:i4>
      </vt:variant>
      <vt:variant>
        <vt:i4>0</vt:i4>
      </vt:variant>
      <vt:variant>
        <vt:i4>5</vt:i4>
      </vt:variant>
      <vt:variant>
        <vt:lpwstr>mailto:compliance@nccommerce.com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Up Visit Review Sheet</dc:title>
  <dc:creator>CDBG Program</dc:creator>
  <cp:lastModifiedBy>Purcell, Detra L</cp:lastModifiedBy>
  <cp:revision>5</cp:revision>
  <cp:lastPrinted>2019-03-05T16:05:00Z</cp:lastPrinted>
  <dcterms:created xsi:type="dcterms:W3CDTF">2019-03-05T16:03:00Z</dcterms:created>
  <dcterms:modified xsi:type="dcterms:W3CDTF">2019-03-15T13:10:00Z</dcterms:modified>
</cp:coreProperties>
</file>